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BF1" w:rsidRDefault="00157BF1" w:rsidP="00026153">
      <w:pPr>
        <w:ind w:left="720" w:hanging="720"/>
        <w:jc w:val="center"/>
        <w:rPr>
          <w:b/>
          <w:sz w:val="22"/>
          <w:szCs w:val="22"/>
        </w:rPr>
      </w:pPr>
    </w:p>
    <w:p w:rsidR="00157BF1" w:rsidRDefault="00157BF1">
      <w:pPr>
        <w:jc w:val="center"/>
        <w:rPr>
          <w:b/>
          <w:sz w:val="22"/>
          <w:szCs w:val="22"/>
        </w:rPr>
      </w:pPr>
    </w:p>
    <w:p w:rsidR="00157BF1" w:rsidRDefault="001B03EA">
      <w:pPr>
        <w:jc w:val="center"/>
        <w:rPr>
          <w:sz w:val="22"/>
          <w:szCs w:val="22"/>
        </w:rPr>
      </w:pPr>
      <w:r>
        <w:rPr>
          <w:b/>
          <w:sz w:val="22"/>
          <w:szCs w:val="22"/>
        </w:rPr>
        <w:t>MEMORANDO</w:t>
      </w:r>
    </w:p>
    <w:p w:rsidR="00157BF1" w:rsidRDefault="00157BF1">
      <w:pPr>
        <w:rPr>
          <w:b/>
          <w:sz w:val="22"/>
          <w:szCs w:val="22"/>
        </w:rPr>
      </w:pPr>
    </w:p>
    <w:p w:rsidR="00157BF1" w:rsidRDefault="001B03EA">
      <w:pPr>
        <w:rPr>
          <w:b/>
          <w:sz w:val="22"/>
          <w:szCs w:val="22"/>
        </w:rPr>
      </w:pPr>
      <w:r>
        <w:rPr>
          <w:sz w:val="22"/>
          <w:szCs w:val="22"/>
        </w:rPr>
        <w:t>PARA</w:t>
      </w:r>
      <w:r>
        <w:rPr>
          <w:b/>
          <w:sz w:val="22"/>
          <w:szCs w:val="22"/>
        </w:rPr>
        <w:t>:</w:t>
      </w:r>
      <w:r>
        <w:rPr>
          <w:b/>
          <w:sz w:val="22"/>
          <w:szCs w:val="22"/>
        </w:rPr>
        <w:tab/>
        <w:t xml:space="preserve"> DAVID ANTONIO GARZÓN FANDIÑO</w:t>
      </w:r>
    </w:p>
    <w:p w:rsidR="00157BF1" w:rsidRDefault="001B03EA">
      <w:pPr>
        <w:rPr>
          <w:b/>
          <w:sz w:val="22"/>
          <w:szCs w:val="22"/>
        </w:rPr>
      </w:pPr>
      <w:r>
        <w:rPr>
          <w:b/>
          <w:sz w:val="22"/>
          <w:szCs w:val="22"/>
        </w:rPr>
        <w:t xml:space="preserve">            Subsecretario Comisión Segunda Permanente de Gobierno.</w:t>
      </w:r>
    </w:p>
    <w:p w:rsidR="00157BF1" w:rsidRDefault="00157BF1">
      <w:pPr>
        <w:pBdr>
          <w:top w:val="nil"/>
          <w:left w:val="nil"/>
          <w:bottom w:val="nil"/>
          <w:right w:val="nil"/>
          <w:between w:val="nil"/>
        </w:pBdr>
        <w:tabs>
          <w:tab w:val="left" w:pos="1418"/>
        </w:tabs>
        <w:rPr>
          <w:sz w:val="22"/>
          <w:szCs w:val="22"/>
        </w:rPr>
      </w:pPr>
    </w:p>
    <w:p w:rsidR="00157BF1" w:rsidRDefault="001B03EA">
      <w:pPr>
        <w:pBdr>
          <w:top w:val="nil"/>
          <w:left w:val="nil"/>
          <w:bottom w:val="nil"/>
          <w:right w:val="nil"/>
          <w:between w:val="nil"/>
        </w:pBdr>
        <w:tabs>
          <w:tab w:val="left" w:pos="1418"/>
        </w:tabs>
        <w:rPr>
          <w:sz w:val="22"/>
          <w:szCs w:val="22"/>
        </w:rPr>
      </w:pPr>
      <w:r>
        <w:rPr>
          <w:sz w:val="22"/>
          <w:szCs w:val="22"/>
        </w:rPr>
        <w:t>DE</w:t>
      </w:r>
      <w:r>
        <w:rPr>
          <w:b/>
          <w:sz w:val="22"/>
          <w:szCs w:val="22"/>
        </w:rPr>
        <w:t>:</w:t>
      </w:r>
      <w:r>
        <w:rPr>
          <w:sz w:val="22"/>
          <w:szCs w:val="22"/>
        </w:rPr>
        <w:t xml:space="preserve">      Edison </w:t>
      </w:r>
      <w:r w:rsidR="00026153">
        <w:rPr>
          <w:sz w:val="22"/>
          <w:szCs w:val="22"/>
        </w:rPr>
        <w:t>Julián</w:t>
      </w:r>
      <w:r>
        <w:rPr>
          <w:sz w:val="22"/>
          <w:szCs w:val="22"/>
        </w:rPr>
        <w:t xml:space="preserve"> Forero Castelblanco.</w:t>
      </w:r>
    </w:p>
    <w:p w:rsidR="00157BF1" w:rsidRDefault="00157BF1">
      <w:pPr>
        <w:pBdr>
          <w:top w:val="nil"/>
          <w:left w:val="nil"/>
          <w:bottom w:val="nil"/>
          <w:right w:val="nil"/>
          <w:between w:val="nil"/>
        </w:pBdr>
        <w:tabs>
          <w:tab w:val="left" w:pos="1418"/>
        </w:tabs>
        <w:rPr>
          <w:sz w:val="22"/>
          <w:szCs w:val="22"/>
        </w:rPr>
      </w:pPr>
    </w:p>
    <w:p w:rsidR="00157BF1" w:rsidRDefault="00157BF1">
      <w:pPr>
        <w:pBdr>
          <w:top w:val="nil"/>
          <w:left w:val="nil"/>
          <w:bottom w:val="nil"/>
          <w:right w:val="nil"/>
          <w:between w:val="nil"/>
        </w:pBdr>
        <w:tabs>
          <w:tab w:val="left" w:pos="1418"/>
        </w:tabs>
        <w:rPr>
          <w:sz w:val="22"/>
          <w:szCs w:val="22"/>
        </w:rPr>
      </w:pPr>
    </w:p>
    <w:p w:rsidR="00157BF1" w:rsidRDefault="001B03EA">
      <w:pPr>
        <w:pBdr>
          <w:top w:val="nil"/>
          <w:left w:val="nil"/>
          <w:bottom w:val="nil"/>
          <w:right w:val="nil"/>
          <w:between w:val="nil"/>
        </w:pBdr>
        <w:tabs>
          <w:tab w:val="left" w:pos="1418"/>
        </w:tabs>
        <w:rPr>
          <w:sz w:val="22"/>
          <w:szCs w:val="22"/>
        </w:rPr>
      </w:pPr>
      <w:r>
        <w:rPr>
          <w:b/>
          <w:sz w:val="22"/>
          <w:szCs w:val="22"/>
        </w:rPr>
        <w:t>ASUNTO:</w:t>
      </w:r>
      <w:r>
        <w:rPr>
          <w:sz w:val="22"/>
          <w:szCs w:val="22"/>
        </w:rPr>
        <w:t xml:space="preserve"> Ponencia para primer d</w:t>
      </w:r>
      <w:r w:rsidR="00026153">
        <w:rPr>
          <w:sz w:val="22"/>
          <w:szCs w:val="22"/>
        </w:rPr>
        <w:t>ebate Proyecto de Acuerdo N° 783</w:t>
      </w:r>
      <w:r>
        <w:rPr>
          <w:sz w:val="22"/>
          <w:szCs w:val="22"/>
        </w:rPr>
        <w:t xml:space="preserve"> de 2025</w:t>
      </w:r>
    </w:p>
    <w:p w:rsidR="00157BF1" w:rsidRDefault="00157BF1">
      <w:pPr>
        <w:pBdr>
          <w:top w:val="nil"/>
          <w:left w:val="nil"/>
          <w:bottom w:val="nil"/>
          <w:right w:val="nil"/>
          <w:between w:val="nil"/>
        </w:pBdr>
        <w:tabs>
          <w:tab w:val="left" w:pos="1418"/>
        </w:tabs>
        <w:rPr>
          <w:sz w:val="22"/>
          <w:szCs w:val="22"/>
        </w:rPr>
      </w:pPr>
    </w:p>
    <w:p w:rsidR="00157BF1" w:rsidRDefault="00157BF1">
      <w:pPr>
        <w:pBdr>
          <w:top w:val="nil"/>
          <w:left w:val="nil"/>
          <w:bottom w:val="nil"/>
          <w:right w:val="nil"/>
          <w:between w:val="nil"/>
        </w:pBdr>
        <w:tabs>
          <w:tab w:val="left" w:pos="1418"/>
        </w:tabs>
        <w:rPr>
          <w:sz w:val="22"/>
          <w:szCs w:val="22"/>
        </w:rPr>
      </w:pPr>
    </w:p>
    <w:p w:rsidR="00157BF1" w:rsidRDefault="00157BF1">
      <w:pPr>
        <w:pBdr>
          <w:top w:val="nil"/>
          <w:left w:val="nil"/>
          <w:bottom w:val="nil"/>
          <w:right w:val="nil"/>
          <w:between w:val="nil"/>
        </w:pBdr>
        <w:tabs>
          <w:tab w:val="left" w:pos="1418"/>
        </w:tabs>
        <w:rPr>
          <w:sz w:val="22"/>
          <w:szCs w:val="22"/>
        </w:rPr>
      </w:pPr>
    </w:p>
    <w:p w:rsidR="00157BF1" w:rsidRDefault="00157BF1">
      <w:pPr>
        <w:pBdr>
          <w:top w:val="nil"/>
          <w:left w:val="nil"/>
          <w:bottom w:val="nil"/>
          <w:right w:val="nil"/>
          <w:between w:val="nil"/>
        </w:pBdr>
        <w:tabs>
          <w:tab w:val="left" w:pos="1418"/>
        </w:tabs>
        <w:rPr>
          <w:sz w:val="22"/>
          <w:szCs w:val="22"/>
        </w:rPr>
      </w:pPr>
    </w:p>
    <w:p w:rsidR="00157BF1" w:rsidRDefault="001B03EA">
      <w:pPr>
        <w:pBdr>
          <w:top w:val="nil"/>
          <w:left w:val="nil"/>
          <w:bottom w:val="nil"/>
          <w:right w:val="nil"/>
          <w:between w:val="nil"/>
        </w:pBdr>
        <w:rPr>
          <w:sz w:val="22"/>
          <w:szCs w:val="22"/>
        </w:rPr>
      </w:pPr>
      <w:r>
        <w:rPr>
          <w:sz w:val="22"/>
          <w:szCs w:val="22"/>
        </w:rPr>
        <w:t>Con un atento saludo, de acuerdo a la designación realizada por la Mesa Directiva del Concejo de Bogotá, D.C. y de conformidad con el Acuerdo 837 de 2022 (Reglamento Interno), me permito presentar la ponencia para primer debat</w:t>
      </w:r>
      <w:r w:rsidR="00026153">
        <w:rPr>
          <w:sz w:val="22"/>
          <w:szCs w:val="22"/>
        </w:rPr>
        <w:t>e al Proyecto de Acuerdo No. 783</w:t>
      </w:r>
      <w:r>
        <w:rPr>
          <w:sz w:val="22"/>
          <w:szCs w:val="22"/>
        </w:rPr>
        <w:t xml:space="preserve"> de 2025 </w:t>
      </w:r>
      <w:r>
        <w:rPr>
          <w:b/>
          <w:sz w:val="22"/>
          <w:szCs w:val="22"/>
        </w:rPr>
        <w:t xml:space="preserve">“POR MEDIO DEL CUAL SE AMPLÍAN Y FORTALECEN LOS INCENTIVOS PARA LOS CONSEJEROS Y CONSEJERAS DISTRITALES Y LOCALES DE JUVENTUD EN EL DISTRITO CAPITAL, Y SE DICTAN OTRAS DISPOSICIONES” </w:t>
      </w:r>
      <w:r>
        <w:rPr>
          <w:sz w:val="22"/>
          <w:szCs w:val="22"/>
        </w:rPr>
        <w:t>dentro del término establecido.</w:t>
      </w:r>
    </w:p>
    <w:p w:rsidR="00157BF1" w:rsidRDefault="00157BF1">
      <w:pPr>
        <w:pBdr>
          <w:top w:val="nil"/>
          <w:left w:val="nil"/>
          <w:bottom w:val="nil"/>
          <w:right w:val="nil"/>
          <w:between w:val="nil"/>
        </w:pBdr>
        <w:tabs>
          <w:tab w:val="left" w:pos="1418"/>
        </w:tabs>
        <w:rPr>
          <w:sz w:val="22"/>
          <w:szCs w:val="22"/>
        </w:rPr>
      </w:pPr>
    </w:p>
    <w:p w:rsidR="00157BF1" w:rsidRDefault="001B03EA">
      <w:pPr>
        <w:pBdr>
          <w:top w:val="nil"/>
          <w:left w:val="nil"/>
          <w:bottom w:val="nil"/>
          <w:right w:val="nil"/>
          <w:between w:val="nil"/>
        </w:pBdr>
        <w:tabs>
          <w:tab w:val="left" w:pos="1418"/>
        </w:tabs>
        <w:rPr>
          <w:sz w:val="22"/>
          <w:szCs w:val="22"/>
        </w:rPr>
      </w:pPr>
      <w:r>
        <w:rPr>
          <w:sz w:val="22"/>
          <w:szCs w:val="22"/>
        </w:rPr>
        <w:t>Respetuosamente,</w:t>
      </w:r>
    </w:p>
    <w:p w:rsidR="00157BF1" w:rsidRDefault="00157BF1">
      <w:pPr>
        <w:pBdr>
          <w:top w:val="nil"/>
          <w:left w:val="nil"/>
          <w:bottom w:val="nil"/>
          <w:right w:val="nil"/>
          <w:between w:val="nil"/>
        </w:pBdr>
        <w:tabs>
          <w:tab w:val="left" w:pos="1418"/>
        </w:tabs>
        <w:rPr>
          <w:sz w:val="22"/>
          <w:szCs w:val="22"/>
        </w:rPr>
      </w:pPr>
    </w:p>
    <w:p w:rsidR="00157BF1" w:rsidRDefault="00157BF1">
      <w:pPr>
        <w:pBdr>
          <w:top w:val="nil"/>
          <w:left w:val="nil"/>
          <w:bottom w:val="nil"/>
          <w:right w:val="nil"/>
          <w:between w:val="nil"/>
        </w:pBdr>
        <w:tabs>
          <w:tab w:val="left" w:pos="2625"/>
        </w:tabs>
        <w:rPr>
          <w:sz w:val="22"/>
          <w:szCs w:val="22"/>
        </w:rPr>
      </w:pPr>
    </w:p>
    <w:p w:rsidR="00157BF1" w:rsidRDefault="00157BF1">
      <w:pPr>
        <w:pBdr>
          <w:top w:val="nil"/>
          <w:left w:val="nil"/>
          <w:bottom w:val="nil"/>
          <w:right w:val="nil"/>
          <w:between w:val="nil"/>
        </w:pBdr>
        <w:tabs>
          <w:tab w:val="left" w:pos="2625"/>
        </w:tabs>
        <w:rPr>
          <w:sz w:val="22"/>
          <w:szCs w:val="22"/>
        </w:rPr>
      </w:pPr>
    </w:p>
    <w:p w:rsidR="00157BF1" w:rsidRDefault="00157BF1">
      <w:pPr>
        <w:pBdr>
          <w:top w:val="nil"/>
          <w:left w:val="nil"/>
          <w:bottom w:val="nil"/>
          <w:right w:val="nil"/>
          <w:between w:val="nil"/>
        </w:pBdr>
        <w:tabs>
          <w:tab w:val="left" w:pos="1418"/>
        </w:tabs>
        <w:rPr>
          <w:sz w:val="22"/>
          <w:szCs w:val="22"/>
        </w:rPr>
      </w:pPr>
    </w:p>
    <w:p w:rsidR="00157BF1" w:rsidRDefault="00157BF1">
      <w:pPr>
        <w:pBdr>
          <w:top w:val="nil"/>
          <w:left w:val="nil"/>
          <w:bottom w:val="nil"/>
          <w:right w:val="nil"/>
          <w:between w:val="nil"/>
        </w:pBdr>
        <w:tabs>
          <w:tab w:val="left" w:pos="1418"/>
        </w:tabs>
        <w:rPr>
          <w:sz w:val="22"/>
          <w:szCs w:val="22"/>
        </w:rPr>
      </w:pPr>
    </w:p>
    <w:p w:rsidR="00157BF1" w:rsidRDefault="001B03EA">
      <w:pPr>
        <w:pBdr>
          <w:top w:val="nil"/>
          <w:left w:val="nil"/>
          <w:bottom w:val="nil"/>
          <w:right w:val="nil"/>
          <w:between w:val="nil"/>
        </w:pBdr>
        <w:tabs>
          <w:tab w:val="left" w:pos="1418"/>
        </w:tabs>
        <w:rPr>
          <w:b/>
          <w:sz w:val="22"/>
          <w:szCs w:val="22"/>
        </w:rPr>
      </w:pPr>
      <w:r>
        <w:rPr>
          <w:b/>
          <w:sz w:val="22"/>
          <w:szCs w:val="22"/>
        </w:rPr>
        <w:t xml:space="preserve">EDISON JULIÁN FORERO CASTELBLANCO             </w:t>
      </w:r>
    </w:p>
    <w:p w:rsidR="00157BF1" w:rsidRDefault="001B03EA">
      <w:pPr>
        <w:pBdr>
          <w:top w:val="nil"/>
          <w:left w:val="nil"/>
          <w:bottom w:val="nil"/>
          <w:right w:val="nil"/>
          <w:between w:val="nil"/>
        </w:pBdr>
        <w:tabs>
          <w:tab w:val="left" w:pos="1418"/>
        </w:tabs>
        <w:rPr>
          <w:sz w:val="22"/>
          <w:szCs w:val="22"/>
        </w:rPr>
      </w:pPr>
      <w:r>
        <w:rPr>
          <w:sz w:val="22"/>
          <w:szCs w:val="22"/>
        </w:rPr>
        <w:t xml:space="preserve">Concejal de Bogotá                                                   </w:t>
      </w:r>
    </w:p>
    <w:p w:rsidR="00157BF1" w:rsidRDefault="00157BF1">
      <w:pPr>
        <w:spacing w:line="218" w:lineRule="auto"/>
        <w:rPr>
          <w:sz w:val="22"/>
          <w:szCs w:val="22"/>
        </w:rPr>
      </w:pPr>
    </w:p>
    <w:p w:rsidR="00157BF1" w:rsidRDefault="001B03EA">
      <w:pPr>
        <w:spacing w:line="218" w:lineRule="auto"/>
        <w:rPr>
          <w:sz w:val="16"/>
          <w:szCs w:val="16"/>
        </w:rPr>
      </w:pPr>
      <w:r>
        <w:rPr>
          <w:sz w:val="16"/>
          <w:szCs w:val="16"/>
        </w:rPr>
        <w:t xml:space="preserve">Anexos:                 </w:t>
      </w:r>
      <w:r>
        <w:rPr>
          <w:sz w:val="16"/>
          <w:szCs w:val="16"/>
        </w:rPr>
        <w:tab/>
        <w:t>Pon</w:t>
      </w:r>
      <w:r w:rsidR="00026153">
        <w:rPr>
          <w:sz w:val="16"/>
          <w:szCs w:val="16"/>
        </w:rPr>
        <w:t>encia al Proyecto de Acuerdo 783</w:t>
      </w:r>
      <w:r>
        <w:rPr>
          <w:sz w:val="16"/>
          <w:szCs w:val="16"/>
        </w:rPr>
        <w:t xml:space="preserve"> de 2025 (21)folios</w:t>
      </w:r>
    </w:p>
    <w:p w:rsidR="00157BF1" w:rsidRDefault="001B03EA">
      <w:pPr>
        <w:spacing w:line="218" w:lineRule="auto"/>
        <w:rPr>
          <w:sz w:val="16"/>
          <w:szCs w:val="16"/>
        </w:rPr>
      </w:pPr>
      <w:r>
        <w:rPr>
          <w:sz w:val="16"/>
          <w:szCs w:val="16"/>
        </w:rPr>
        <w:t xml:space="preserve">Copia:                    </w:t>
      </w:r>
      <w:r>
        <w:rPr>
          <w:sz w:val="16"/>
          <w:szCs w:val="16"/>
        </w:rPr>
        <w:tab/>
        <w:t>N/A</w:t>
      </w:r>
    </w:p>
    <w:p w:rsidR="00157BF1" w:rsidRDefault="001B03EA">
      <w:pPr>
        <w:spacing w:line="218" w:lineRule="auto"/>
        <w:rPr>
          <w:sz w:val="16"/>
          <w:szCs w:val="16"/>
        </w:rPr>
      </w:pPr>
      <w:r>
        <w:rPr>
          <w:sz w:val="16"/>
          <w:szCs w:val="16"/>
        </w:rPr>
        <w:t>Elaboró:                   IDMR</w:t>
      </w:r>
    </w:p>
    <w:p w:rsidR="00157BF1" w:rsidRDefault="001B03EA">
      <w:pPr>
        <w:spacing w:line="218" w:lineRule="auto"/>
        <w:rPr>
          <w:sz w:val="22"/>
          <w:szCs w:val="22"/>
        </w:rPr>
        <w:sectPr w:rsidR="00157BF1">
          <w:headerReference w:type="default" r:id="rId8"/>
          <w:footerReference w:type="even" r:id="rId9"/>
          <w:footerReference w:type="default" r:id="rId10"/>
          <w:headerReference w:type="first" r:id="rId11"/>
          <w:footerReference w:type="first" r:id="rId12"/>
          <w:pgSz w:w="12242" w:h="15842"/>
          <w:pgMar w:top="1701" w:right="1701" w:bottom="1701" w:left="1701" w:header="1134" w:footer="851" w:gutter="0"/>
          <w:pgNumType w:start="1"/>
          <w:cols w:space="720"/>
        </w:sectPr>
      </w:pPr>
      <w:r>
        <w:rPr>
          <w:sz w:val="16"/>
          <w:szCs w:val="16"/>
        </w:rPr>
        <w:t xml:space="preserve">Revisó:                  </w:t>
      </w:r>
      <w:r>
        <w:rPr>
          <w:sz w:val="16"/>
          <w:szCs w:val="16"/>
        </w:rPr>
        <w:tab/>
        <w:t>JCBY</w:t>
      </w:r>
    </w:p>
    <w:p w:rsidR="00157BF1" w:rsidRDefault="00157BF1">
      <w:pPr>
        <w:jc w:val="center"/>
        <w:rPr>
          <w:b/>
          <w:sz w:val="22"/>
          <w:szCs w:val="22"/>
        </w:rPr>
      </w:pPr>
    </w:p>
    <w:p w:rsidR="00157BF1" w:rsidRDefault="00026153">
      <w:pPr>
        <w:jc w:val="center"/>
        <w:rPr>
          <w:b/>
          <w:sz w:val="22"/>
          <w:szCs w:val="22"/>
        </w:rPr>
      </w:pPr>
      <w:r>
        <w:rPr>
          <w:b/>
          <w:sz w:val="22"/>
          <w:szCs w:val="22"/>
        </w:rPr>
        <w:t>PONENCIA PROYECTO DE ACUERDO 783</w:t>
      </w:r>
      <w:r w:rsidR="001B03EA">
        <w:rPr>
          <w:b/>
          <w:sz w:val="22"/>
          <w:szCs w:val="22"/>
        </w:rPr>
        <w:t xml:space="preserve"> DE 2025 “POR MEDIO DEL CUAL SE AMPLÍAN Y FORTALECEN LOS INCENTIVOS PARA LOS CONSEJEROS Y CONSEJERAS DISTRITALES Y LOCALES DE JUVENTUD EN EL DISTRITO CAPITAL, Y SE DICTAN OTRAS DISPOSICIONES” </w:t>
      </w:r>
    </w:p>
    <w:p w:rsidR="00157BF1" w:rsidRDefault="00157BF1">
      <w:pPr>
        <w:jc w:val="left"/>
        <w:rPr>
          <w:sz w:val="22"/>
          <w:szCs w:val="22"/>
        </w:rPr>
      </w:pPr>
    </w:p>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0" w:name="_heading=h.gjdgxs" w:colFirst="0" w:colLast="0"/>
      <w:bookmarkEnd w:id="0"/>
      <w:r>
        <w:rPr>
          <w:b/>
          <w:color w:val="000000"/>
          <w:sz w:val="22"/>
          <w:szCs w:val="22"/>
        </w:rPr>
        <w:t>OBJETO DEL PROYECTO</w:t>
      </w:r>
    </w:p>
    <w:p w:rsidR="00157BF1" w:rsidRDefault="001B03EA">
      <w:pPr>
        <w:rPr>
          <w:sz w:val="22"/>
          <w:szCs w:val="22"/>
        </w:rPr>
      </w:pPr>
      <w:r>
        <w:rPr>
          <w:sz w:val="22"/>
          <w:szCs w:val="22"/>
        </w:rPr>
        <w:t>Los autores del proyecto pretenden con la presente iniciativa ampliar y fortalecer los incentivos dirigidos a los Consejeros y Consejeras Locales de Juventud en Bogotá, con el fin de reconocer su labor de representación, promover su participación y contribuir al fortalecimiento de sus capacidades para el ejercicio efectivo de su rol en el Distrito Capital.</w:t>
      </w:r>
    </w:p>
    <w:p w:rsidR="00157BF1" w:rsidRDefault="00157BF1">
      <w:pPr>
        <w:rPr>
          <w:sz w:val="22"/>
          <w:szCs w:val="22"/>
        </w:rPr>
      </w:pPr>
    </w:p>
    <w:p w:rsidR="00157BF1" w:rsidRDefault="001B03EA">
      <w:pPr>
        <w:rPr>
          <w:sz w:val="22"/>
          <w:szCs w:val="22"/>
        </w:rPr>
      </w:pPr>
      <w:r>
        <w:rPr>
          <w:sz w:val="22"/>
          <w:szCs w:val="22"/>
        </w:rPr>
        <w:t>Planteando una estrategia distrital integral de apoyo a los Consejos Locales de Juventud, que contemple entre otros: asesoría técnica y acompañamiento permanente a los Consejos de Juventud; diseño e implementación de incentivos para la educación, culturales y recreativos, generación de ingresos y emprendimiento, formativos, y para la movilidad; y formación continua en liderazgo, incidencia política, control social y formulación de agendas públicas.</w:t>
      </w:r>
    </w:p>
    <w:p w:rsidR="00157BF1" w:rsidRDefault="00157BF1">
      <w:pPr>
        <w:rPr>
          <w:sz w:val="22"/>
          <w:szCs w:val="22"/>
        </w:rPr>
      </w:pPr>
    </w:p>
    <w:p w:rsidR="00157BF1" w:rsidRDefault="001B03EA">
      <w:pPr>
        <w:rPr>
          <w:sz w:val="22"/>
          <w:szCs w:val="22"/>
        </w:rPr>
      </w:pPr>
      <w:r>
        <w:rPr>
          <w:sz w:val="22"/>
          <w:szCs w:val="22"/>
        </w:rPr>
        <w:t>Así mismo, se plantea que el último viernes de cada agosto de cada año se establezca el Día Distrital de los Consejeros y Consejeras de Juventud de Bogotá, en el marco de dicho día, los autores proponen disponer una sesión plenaria citando a las entidades distritales competentes para rendir informes sobre las acciones, programas y estrategias implementadas en apoyo a los Consejos de Juventud, siendo una de las maneras de hacerle control político al proyecto de acuerdo.</w:t>
      </w:r>
    </w:p>
    <w:p w:rsidR="00157BF1" w:rsidRDefault="00157BF1">
      <w:pPr>
        <w:rPr>
          <w:sz w:val="22"/>
          <w:szCs w:val="22"/>
        </w:rPr>
      </w:pPr>
    </w:p>
    <w:p w:rsidR="00157BF1" w:rsidRDefault="001B03EA">
      <w:pPr>
        <w:rPr>
          <w:sz w:val="22"/>
          <w:szCs w:val="22"/>
        </w:rPr>
      </w:pPr>
      <w:r>
        <w:rPr>
          <w:sz w:val="22"/>
          <w:szCs w:val="22"/>
        </w:rPr>
        <w:t>Por último, los autores disponen que la Secretaría Distrital de Gobierno, en coordinación con las entidades competentes, garanticen la divulgación permanente, accesible y actualizada de la gestión de los Consejos Locales de Juventud.</w:t>
      </w:r>
    </w:p>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1" w:name="_heading=h.30j0zll" w:colFirst="0" w:colLast="0"/>
      <w:bookmarkEnd w:id="1"/>
      <w:r>
        <w:rPr>
          <w:b/>
          <w:color w:val="000000"/>
          <w:sz w:val="22"/>
          <w:szCs w:val="22"/>
        </w:rPr>
        <w:t>ANTECEDENTES</w:t>
      </w:r>
    </w:p>
    <w:p w:rsidR="00157BF1" w:rsidRDefault="001B03EA">
      <w:pPr>
        <w:pBdr>
          <w:top w:val="nil"/>
          <w:left w:val="nil"/>
          <w:bottom w:val="nil"/>
          <w:right w:val="nil"/>
          <w:between w:val="nil"/>
        </w:pBdr>
        <w:rPr>
          <w:sz w:val="22"/>
          <w:szCs w:val="22"/>
        </w:rPr>
      </w:pPr>
      <w:r>
        <w:rPr>
          <w:sz w:val="22"/>
          <w:szCs w:val="22"/>
        </w:rPr>
        <w:t xml:space="preserve">Como antecedentes de la presente iniciativa encontramos: </w:t>
      </w:r>
    </w:p>
    <w:p w:rsidR="00157BF1" w:rsidRDefault="00157BF1">
      <w:pPr>
        <w:pBdr>
          <w:top w:val="nil"/>
          <w:left w:val="nil"/>
          <w:bottom w:val="nil"/>
          <w:right w:val="nil"/>
          <w:between w:val="nil"/>
        </w:pBdr>
        <w:rPr>
          <w:sz w:val="22"/>
          <w:szCs w:val="22"/>
          <w:highlight w:val="yellow"/>
        </w:rPr>
      </w:pPr>
    </w:p>
    <w:tbl>
      <w:tblPr>
        <w:tblStyle w:val="af0"/>
        <w:tblW w:w="9375" w:type="dxa"/>
        <w:tblInd w:w="-5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0"/>
        <w:gridCol w:w="1890"/>
        <w:gridCol w:w="1995"/>
        <w:gridCol w:w="2940"/>
      </w:tblGrid>
      <w:tr w:rsidR="00157BF1">
        <w:tc>
          <w:tcPr>
            <w:tcW w:w="2550"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b/>
                <w:sz w:val="22"/>
                <w:szCs w:val="22"/>
              </w:rPr>
            </w:pPr>
            <w:r>
              <w:rPr>
                <w:b/>
                <w:sz w:val="22"/>
                <w:szCs w:val="22"/>
              </w:rPr>
              <w:t>Nombre y número del Proyecto</w:t>
            </w:r>
          </w:p>
        </w:tc>
        <w:tc>
          <w:tcPr>
            <w:tcW w:w="1890"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b/>
                <w:sz w:val="22"/>
                <w:szCs w:val="22"/>
              </w:rPr>
            </w:pPr>
            <w:r>
              <w:rPr>
                <w:b/>
                <w:sz w:val="22"/>
                <w:szCs w:val="22"/>
              </w:rPr>
              <w:t>Autor</w:t>
            </w:r>
          </w:p>
        </w:tc>
        <w:tc>
          <w:tcPr>
            <w:tcW w:w="1995"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b/>
                <w:sz w:val="22"/>
                <w:szCs w:val="22"/>
              </w:rPr>
            </w:pPr>
            <w:r>
              <w:rPr>
                <w:b/>
                <w:sz w:val="22"/>
                <w:szCs w:val="22"/>
              </w:rPr>
              <w:t>Ponentes</w:t>
            </w:r>
          </w:p>
        </w:tc>
        <w:tc>
          <w:tcPr>
            <w:tcW w:w="2940"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b/>
                <w:sz w:val="22"/>
                <w:szCs w:val="22"/>
              </w:rPr>
            </w:pPr>
            <w:r>
              <w:rPr>
                <w:b/>
                <w:sz w:val="22"/>
                <w:szCs w:val="22"/>
              </w:rPr>
              <w:t>Trámite</w:t>
            </w:r>
          </w:p>
        </w:tc>
      </w:tr>
      <w:tr w:rsidR="00157BF1">
        <w:trPr>
          <w:trHeight w:val="447"/>
        </w:trPr>
        <w:tc>
          <w:tcPr>
            <w:tcW w:w="2550"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i/>
                <w:sz w:val="22"/>
                <w:szCs w:val="22"/>
              </w:rPr>
            </w:pPr>
            <w:r>
              <w:rPr>
                <w:b/>
                <w:sz w:val="22"/>
                <w:szCs w:val="22"/>
              </w:rPr>
              <w:lastRenderedPageBreak/>
              <w:t xml:space="preserve">Proyecto de Acuerdo Distrital 101 de 2022 </w:t>
            </w:r>
            <w:r>
              <w:rPr>
                <w:sz w:val="22"/>
                <w:szCs w:val="22"/>
              </w:rPr>
              <w:t>“</w:t>
            </w:r>
            <w:r>
              <w:rPr>
                <w:i/>
                <w:sz w:val="22"/>
                <w:szCs w:val="22"/>
              </w:rPr>
              <w:t>Por medio del cual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sz w:val="22"/>
                <w:szCs w:val="22"/>
              </w:rPr>
            </w:pPr>
            <w:r>
              <w:rPr>
                <w:sz w:val="22"/>
                <w:szCs w:val="22"/>
              </w:rPr>
              <w:t>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pBdr>
                <w:top w:val="nil"/>
                <w:left w:val="nil"/>
                <w:bottom w:val="nil"/>
                <w:right w:val="nil"/>
                <w:between w:val="nil"/>
              </w:pBdr>
              <w:jc w:val="left"/>
              <w:rPr>
                <w:sz w:val="22"/>
                <w:szCs w:val="22"/>
              </w:rPr>
            </w:pPr>
            <w:r>
              <w:rPr>
                <w:sz w:val="22"/>
                <w:szCs w:val="22"/>
              </w:rPr>
              <w:t>Ponencia positiva del H.C. Álvaro Acevedo Leguizamón   (Coordinador) y Ponencia positiva del H.C. Fabián Andrés Puentes Sierra</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Remitido a la respectiva comisión el 26 de enero de 2022</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NOTIFICACIÓN A PONENTES ENVIADA POR CORREO ELECTRÓNICO DESDE SECRETARIA GENERAL, lunes 31/01/2022 9:06 p. m.</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79 DEL ACUERDO 741 DE 2019- SESIONES ORDINARIAS MES FEBRERO 2022</w:t>
            </w:r>
          </w:p>
        </w:tc>
      </w:tr>
      <w:tr w:rsidR="00157BF1">
        <w:tc>
          <w:tcPr>
            <w:tcW w:w="2550" w:type="dxa"/>
            <w:shd w:val="clear" w:color="auto" w:fill="auto"/>
            <w:tcMar>
              <w:top w:w="100" w:type="dxa"/>
              <w:left w:w="100" w:type="dxa"/>
              <w:bottom w:w="100" w:type="dxa"/>
              <w:right w:w="100" w:type="dxa"/>
            </w:tcMar>
          </w:tcPr>
          <w:p w:rsidR="00157BF1" w:rsidRDefault="001B03EA">
            <w:pPr>
              <w:widowControl w:val="0"/>
              <w:jc w:val="left"/>
              <w:rPr>
                <w:i/>
                <w:sz w:val="22"/>
                <w:szCs w:val="22"/>
              </w:rPr>
            </w:pPr>
            <w:r>
              <w:rPr>
                <w:b/>
                <w:sz w:val="22"/>
                <w:szCs w:val="22"/>
              </w:rPr>
              <w:t>Proyecto de Acuerdo Distrital 186 de 2022</w:t>
            </w:r>
            <w:r>
              <w:rPr>
                <w:sz w:val="22"/>
                <w:szCs w:val="22"/>
              </w:rPr>
              <w:t>“</w:t>
            </w:r>
            <w:r>
              <w:rPr>
                <w:i/>
                <w:sz w:val="22"/>
                <w:szCs w:val="22"/>
              </w:rPr>
              <w:t>Por medio del cual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Ponencia positiva del H.C. Álvaro Acevedo Leguizamón   (Coordinador) y Ponencia positiva del H.C. Fabián Andrés Puentes Sierra</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De conformidad con lo establecido en el parágrafo del artículo 79  del Acuerdo 741-2019, solicitan p.a. 101 de 2022</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Remitido a la respectiva comisión el 09 de abril de 2022</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NOTIFICACION A PONENTES ENVIADA POR CORREO ELECTRÓNICO DESDE SECRETARIA GENERAL, martes 19/04/2022, 8:32 a.m.</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 xml:space="preserve">MEDIANTE MEMORANDO 2022IE57803 DEL 29 DE ABRIL DE 2022 EL CONCEJAL JULIÁN DAVID RODRÍGUEZ SASTOQUE SOLICITA EL RETIRO DEL </w:t>
            </w:r>
            <w:r>
              <w:rPr>
                <w:sz w:val="22"/>
                <w:szCs w:val="22"/>
              </w:rPr>
              <w:lastRenderedPageBreak/>
              <w:t>P.A</w:t>
            </w:r>
          </w:p>
          <w:p w:rsidR="00157BF1" w:rsidRDefault="00157BF1">
            <w:pPr>
              <w:widowControl w:val="0"/>
              <w:pBdr>
                <w:top w:val="nil"/>
                <w:left w:val="nil"/>
                <w:bottom w:val="nil"/>
                <w:right w:val="nil"/>
                <w:between w:val="nil"/>
              </w:pBdr>
              <w:jc w:val="left"/>
              <w:rPr>
                <w:sz w:val="22"/>
                <w:szCs w:val="22"/>
                <w:highlight w:val="yellow"/>
              </w:rPr>
            </w:pPr>
          </w:p>
        </w:tc>
      </w:tr>
      <w:tr w:rsidR="00157BF1">
        <w:tc>
          <w:tcPr>
            <w:tcW w:w="2550" w:type="dxa"/>
            <w:shd w:val="clear" w:color="auto" w:fill="auto"/>
            <w:tcMar>
              <w:top w:w="100" w:type="dxa"/>
              <w:left w:w="100" w:type="dxa"/>
              <w:bottom w:w="100" w:type="dxa"/>
              <w:right w:w="100" w:type="dxa"/>
            </w:tcMar>
          </w:tcPr>
          <w:p w:rsidR="00157BF1" w:rsidRDefault="001B03EA">
            <w:pPr>
              <w:widowControl w:val="0"/>
              <w:jc w:val="left"/>
              <w:rPr>
                <w:sz w:val="22"/>
                <w:szCs w:val="22"/>
              </w:rPr>
            </w:pPr>
            <w:r>
              <w:rPr>
                <w:b/>
                <w:sz w:val="22"/>
                <w:szCs w:val="22"/>
              </w:rPr>
              <w:lastRenderedPageBreak/>
              <w:t>Proyecto de Acuerdo Distrital 253 acumulado con proyecto de acuerdo 268 de 2022</w:t>
            </w:r>
            <w:r>
              <w:rPr>
                <w:sz w:val="22"/>
                <w:szCs w:val="22"/>
              </w:rPr>
              <w:t xml:space="preserve"> </w:t>
            </w:r>
          </w:p>
          <w:p w:rsidR="00157BF1" w:rsidRDefault="001B03EA">
            <w:pPr>
              <w:widowControl w:val="0"/>
              <w:jc w:val="left"/>
              <w:rPr>
                <w:i/>
                <w:sz w:val="22"/>
                <w:szCs w:val="22"/>
              </w:rPr>
            </w:pPr>
            <w:r>
              <w:rPr>
                <w:i/>
                <w:sz w:val="22"/>
                <w:szCs w:val="22"/>
              </w:rPr>
              <w:t>“Por medio del cual se modifica el Acuerdo 33 de 2001,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57BF1">
            <w:pPr>
              <w:widowControl w:val="0"/>
              <w:jc w:val="left"/>
              <w:rPr>
                <w:sz w:val="22"/>
                <w:szCs w:val="22"/>
              </w:rPr>
            </w:pPr>
          </w:p>
          <w:p w:rsidR="00157BF1" w:rsidRDefault="001B03EA">
            <w:pPr>
              <w:widowControl w:val="0"/>
              <w:jc w:val="left"/>
              <w:rPr>
                <w:sz w:val="22"/>
                <w:szCs w:val="22"/>
              </w:rPr>
            </w:pPr>
            <w:r>
              <w:rPr>
                <w:sz w:val="22"/>
                <w:szCs w:val="22"/>
              </w:rPr>
              <w:t>H.C. Fabián Andrés Puentes Sierra y H.C. Julián David Rodríguez Sastoque</w:t>
            </w:r>
          </w:p>
        </w:tc>
        <w:tc>
          <w:tcPr>
            <w:tcW w:w="1995" w:type="dxa"/>
            <w:shd w:val="clear" w:color="auto" w:fill="auto"/>
            <w:tcMar>
              <w:top w:w="100" w:type="dxa"/>
              <w:left w:w="100" w:type="dxa"/>
              <w:bottom w:w="100" w:type="dxa"/>
              <w:right w:w="100" w:type="dxa"/>
            </w:tcMar>
          </w:tcPr>
          <w:p w:rsidR="00157BF1" w:rsidRDefault="00157BF1">
            <w:pPr>
              <w:widowControl w:val="0"/>
              <w:jc w:val="left"/>
              <w:rPr>
                <w:sz w:val="22"/>
                <w:szCs w:val="22"/>
              </w:rPr>
            </w:pPr>
          </w:p>
          <w:p w:rsidR="00157BF1" w:rsidRDefault="001B03EA">
            <w:pPr>
              <w:widowControl w:val="0"/>
              <w:jc w:val="left"/>
              <w:rPr>
                <w:sz w:val="22"/>
                <w:szCs w:val="22"/>
              </w:rPr>
            </w:pPr>
            <w:r>
              <w:rPr>
                <w:sz w:val="22"/>
                <w:szCs w:val="22"/>
              </w:rPr>
              <w:t>H.C. Juan Javier Baena Merlano   (Coordinador)  y H.C. Jorge Luis Colmenares Escobar presentan ponencia positiva conjunta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Remitido a la respectiva comisión el 02 de mayo de 2022</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SEGÚN MEMORANDO CON RADICADO NO. 2022IE5602 DEL 26 DE ABRIL DE 2022 EL HONORABLE CONCEJAL VOCERO DE LA BANCADA FABIÁN ANDRÉS PUENTES SIERRA SOLICITA PRIORIZACION</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MAYO 2022</w:t>
            </w:r>
          </w:p>
        </w:tc>
      </w:tr>
      <w:tr w:rsidR="00157BF1">
        <w:tc>
          <w:tcPr>
            <w:tcW w:w="2550" w:type="dxa"/>
            <w:shd w:val="clear" w:color="auto" w:fill="auto"/>
            <w:tcMar>
              <w:top w:w="100" w:type="dxa"/>
              <w:left w:w="100" w:type="dxa"/>
              <w:bottom w:w="100" w:type="dxa"/>
              <w:right w:w="100" w:type="dxa"/>
            </w:tcMar>
          </w:tcPr>
          <w:p w:rsidR="00157BF1" w:rsidRDefault="001B03EA">
            <w:pPr>
              <w:widowControl w:val="0"/>
              <w:jc w:val="left"/>
              <w:rPr>
                <w:sz w:val="22"/>
                <w:szCs w:val="22"/>
              </w:rPr>
            </w:pPr>
            <w:r>
              <w:rPr>
                <w:b/>
                <w:sz w:val="22"/>
                <w:szCs w:val="22"/>
              </w:rPr>
              <w:t>Proyecto de Acuerdo Distrital 438 acumulado con proyecto de acuerdo 437 de 2022</w:t>
            </w:r>
            <w:r>
              <w:rPr>
                <w:sz w:val="22"/>
                <w:szCs w:val="22"/>
              </w:rPr>
              <w:t xml:space="preserve"> </w:t>
            </w:r>
          </w:p>
          <w:p w:rsidR="00157BF1" w:rsidRDefault="001B03EA">
            <w:pPr>
              <w:widowControl w:val="0"/>
              <w:jc w:val="left"/>
              <w:rPr>
                <w:i/>
                <w:sz w:val="22"/>
                <w:szCs w:val="22"/>
              </w:rPr>
            </w:pPr>
            <w:r>
              <w:rPr>
                <w:i/>
                <w:sz w:val="22"/>
                <w:szCs w:val="22"/>
              </w:rPr>
              <w:t>“Por medio del cual se modifica el Acuerdo 33 de 2001,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Fabián Andrés Puentes Sierra y 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Juan Javier Baena Merlano   (Coordinador)  y H.C. Jorge Luis Colmenares Escobar presentan ponencia positiva conjunta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Remitido a la respectiva comisión el 22 de agosto de 2022</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AGOSTO 2022</w:t>
            </w:r>
          </w:p>
          <w:p w:rsidR="00157BF1" w:rsidRDefault="00157BF1">
            <w:pPr>
              <w:widowControl w:val="0"/>
              <w:jc w:val="left"/>
              <w:rPr>
                <w:sz w:val="22"/>
                <w:szCs w:val="22"/>
              </w:rPr>
            </w:pPr>
          </w:p>
        </w:tc>
      </w:tr>
      <w:tr w:rsidR="00157BF1">
        <w:tc>
          <w:tcPr>
            <w:tcW w:w="2550" w:type="dxa"/>
            <w:shd w:val="clear" w:color="auto" w:fill="auto"/>
            <w:tcMar>
              <w:top w:w="100" w:type="dxa"/>
              <w:left w:w="100" w:type="dxa"/>
              <w:bottom w:w="100" w:type="dxa"/>
              <w:right w:w="100" w:type="dxa"/>
            </w:tcMar>
          </w:tcPr>
          <w:p w:rsidR="00157BF1" w:rsidRDefault="001B03EA">
            <w:pPr>
              <w:widowControl w:val="0"/>
              <w:jc w:val="left"/>
              <w:rPr>
                <w:sz w:val="22"/>
                <w:szCs w:val="22"/>
              </w:rPr>
            </w:pPr>
            <w:r>
              <w:rPr>
                <w:b/>
                <w:sz w:val="22"/>
                <w:szCs w:val="22"/>
              </w:rPr>
              <w:t xml:space="preserve">Proyecto de Acuerdo Distrital 592 </w:t>
            </w:r>
            <w:r>
              <w:rPr>
                <w:b/>
                <w:sz w:val="22"/>
                <w:szCs w:val="22"/>
              </w:rPr>
              <w:lastRenderedPageBreak/>
              <w:t>acumulado con proyecto de acuerdo 549 de 2022</w:t>
            </w:r>
            <w:r>
              <w:rPr>
                <w:sz w:val="22"/>
                <w:szCs w:val="22"/>
              </w:rPr>
              <w:t xml:space="preserve"> </w:t>
            </w:r>
          </w:p>
          <w:p w:rsidR="00157BF1" w:rsidRDefault="001B03EA">
            <w:pPr>
              <w:widowControl w:val="0"/>
              <w:jc w:val="left"/>
              <w:rPr>
                <w:i/>
                <w:sz w:val="22"/>
                <w:szCs w:val="22"/>
              </w:rPr>
            </w:pPr>
            <w:r>
              <w:rPr>
                <w:i/>
                <w:sz w:val="22"/>
                <w:szCs w:val="22"/>
              </w:rPr>
              <w:t>“Por medio del cual se modifica el Acuerdo 33 de 2001,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lastRenderedPageBreak/>
              <w:t xml:space="preserve">H.C. Fabián Andrés Puentes </w:t>
            </w:r>
            <w:r>
              <w:rPr>
                <w:sz w:val="22"/>
                <w:szCs w:val="22"/>
              </w:rPr>
              <w:lastRenderedPageBreak/>
              <w:t>Sierra y 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lastRenderedPageBreak/>
              <w:t xml:space="preserve">H.C. Juan Javier Baena Merlano   </w:t>
            </w:r>
            <w:r>
              <w:rPr>
                <w:sz w:val="22"/>
                <w:szCs w:val="22"/>
              </w:rPr>
              <w:lastRenderedPageBreak/>
              <w:t>(Coordinador)  y H.C. Jorge Luis Colmenares Escobar presentan ponencia positiva conjunta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lastRenderedPageBreak/>
              <w:t xml:space="preserve">Remitido a la respectiva comision el 09 de </w:t>
            </w:r>
            <w:r>
              <w:rPr>
                <w:sz w:val="22"/>
                <w:szCs w:val="22"/>
              </w:rPr>
              <w:lastRenderedPageBreak/>
              <w:t>noviembre de 2022.</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NOVIEMBRE 2022</w:t>
            </w:r>
          </w:p>
          <w:p w:rsidR="00157BF1" w:rsidRDefault="00157BF1">
            <w:pPr>
              <w:widowControl w:val="0"/>
              <w:jc w:val="left"/>
              <w:rPr>
                <w:sz w:val="22"/>
                <w:szCs w:val="22"/>
              </w:rPr>
            </w:pPr>
          </w:p>
        </w:tc>
      </w:tr>
      <w:tr w:rsidR="00157BF1">
        <w:tc>
          <w:tcPr>
            <w:tcW w:w="2550" w:type="dxa"/>
            <w:shd w:val="clear" w:color="auto" w:fill="auto"/>
            <w:tcMar>
              <w:top w:w="100" w:type="dxa"/>
              <w:left w:w="100" w:type="dxa"/>
              <w:bottom w:w="100" w:type="dxa"/>
              <w:right w:w="100" w:type="dxa"/>
            </w:tcMar>
          </w:tcPr>
          <w:p w:rsidR="00157BF1" w:rsidRDefault="001B03EA">
            <w:pPr>
              <w:widowControl w:val="0"/>
              <w:jc w:val="left"/>
              <w:rPr>
                <w:sz w:val="22"/>
                <w:szCs w:val="22"/>
              </w:rPr>
            </w:pPr>
            <w:r>
              <w:rPr>
                <w:b/>
                <w:sz w:val="22"/>
                <w:szCs w:val="22"/>
              </w:rPr>
              <w:lastRenderedPageBreak/>
              <w:t>Proyecto de Acuerdo Distrital 062 acumulado con proyecto de acuerdo 126 de 2023</w:t>
            </w:r>
            <w:r>
              <w:rPr>
                <w:sz w:val="22"/>
                <w:szCs w:val="22"/>
              </w:rPr>
              <w:t xml:space="preserve"> </w:t>
            </w:r>
          </w:p>
          <w:p w:rsidR="00157BF1" w:rsidRDefault="001B03EA">
            <w:pPr>
              <w:widowControl w:val="0"/>
              <w:jc w:val="left"/>
              <w:rPr>
                <w:i/>
                <w:sz w:val="22"/>
                <w:szCs w:val="22"/>
              </w:rPr>
            </w:pPr>
            <w:r>
              <w:rPr>
                <w:i/>
                <w:sz w:val="22"/>
                <w:szCs w:val="22"/>
              </w:rPr>
              <w:t>“Por medio del cual se modifica el Acuerdo 33 de 2001,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Fabián Andrés Puentes Sierra y 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Javier Alejandro Ospina Rodríguez (Coordinador) ponencia positiva con modificaciones y H.C. Luis Carlos Leal Angarita ponencia positiva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COMUNICACION  DE PONENTES ENVIADA POR CORREO ELECTRÓNICO DESDE SECRETARIA GENERAL</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FEBRERO 2023</w:t>
            </w:r>
          </w:p>
        </w:tc>
      </w:tr>
      <w:tr w:rsidR="00157BF1">
        <w:trPr>
          <w:trHeight w:val="4050"/>
        </w:trPr>
        <w:tc>
          <w:tcPr>
            <w:tcW w:w="2550" w:type="dxa"/>
            <w:shd w:val="clear" w:color="auto" w:fill="auto"/>
            <w:tcMar>
              <w:top w:w="100" w:type="dxa"/>
              <w:left w:w="100" w:type="dxa"/>
              <w:bottom w:w="100" w:type="dxa"/>
              <w:right w:w="100" w:type="dxa"/>
            </w:tcMar>
          </w:tcPr>
          <w:p w:rsidR="00157BF1" w:rsidRDefault="001B03EA">
            <w:pPr>
              <w:widowControl w:val="0"/>
              <w:jc w:val="left"/>
              <w:rPr>
                <w:sz w:val="22"/>
                <w:szCs w:val="22"/>
              </w:rPr>
            </w:pPr>
            <w:r>
              <w:rPr>
                <w:b/>
                <w:sz w:val="22"/>
                <w:szCs w:val="22"/>
              </w:rPr>
              <w:lastRenderedPageBreak/>
              <w:t>Proyecto de Acuerdo Distrital 171 acumulado con proyecto de acuerdo 348 de 2023</w:t>
            </w:r>
            <w:r>
              <w:rPr>
                <w:sz w:val="22"/>
                <w:szCs w:val="22"/>
              </w:rPr>
              <w:t xml:space="preserve"> </w:t>
            </w:r>
          </w:p>
          <w:p w:rsidR="00157BF1" w:rsidRDefault="001B03EA">
            <w:pPr>
              <w:widowControl w:val="0"/>
              <w:jc w:val="left"/>
              <w:rPr>
                <w:i/>
                <w:sz w:val="22"/>
                <w:szCs w:val="22"/>
              </w:rPr>
            </w:pPr>
            <w:r>
              <w:rPr>
                <w:i/>
                <w:sz w:val="22"/>
                <w:szCs w:val="22"/>
              </w:rPr>
              <w:t>“Por medio del cual se modifica el Acuerdo 33 de 2001,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Fabián Andrés Puentes Sierra y 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Javier Alejandro Ospina Rodríguez (Coordinador) ponencia positiva con modificaciones y H.C. Luis Carlos Leal Angarita ponencia positiva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Remitido a la respectiva comision el 29 de marzo de 2023</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COMUNICACION  DE PONENTES ENVIADA POR CORREO ELECTRÓNICO DESDE SECRETARIA GENERAL</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MAYO 2023</w:t>
            </w:r>
          </w:p>
        </w:tc>
      </w:tr>
      <w:tr w:rsidR="00157BF1">
        <w:trPr>
          <w:trHeight w:val="3930"/>
        </w:trPr>
        <w:tc>
          <w:tcPr>
            <w:tcW w:w="2550" w:type="dxa"/>
            <w:shd w:val="clear" w:color="auto" w:fill="auto"/>
            <w:tcMar>
              <w:top w:w="100" w:type="dxa"/>
              <w:left w:w="100" w:type="dxa"/>
              <w:bottom w:w="100" w:type="dxa"/>
              <w:right w:w="100" w:type="dxa"/>
            </w:tcMar>
          </w:tcPr>
          <w:p w:rsidR="00157BF1" w:rsidRDefault="001B03EA">
            <w:pPr>
              <w:widowControl w:val="0"/>
              <w:jc w:val="left"/>
              <w:rPr>
                <w:b/>
                <w:sz w:val="22"/>
                <w:szCs w:val="22"/>
              </w:rPr>
            </w:pPr>
            <w:r>
              <w:rPr>
                <w:b/>
                <w:sz w:val="22"/>
                <w:szCs w:val="22"/>
              </w:rPr>
              <w:t>Proyecto de Acuerdo Distrital 408 de 2023.</w:t>
            </w:r>
          </w:p>
          <w:p w:rsidR="00157BF1" w:rsidRDefault="001B03EA">
            <w:pPr>
              <w:widowControl w:val="0"/>
              <w:jc w:val="left"/>
              <w:rPr>
                <w:i/>
                <w:sz w:val="22"/>
                <w:szCs w:val="22"/>
              </w:rPr>
            </w:pPr>
            <w:r>
              <w:rPr>
                <w:i/>
                <w:sz w:val="22"/>
                <w:szCs w:val="22"/>
              </w:rPr>
              <w:t>“Por medio del cual se modifica el Acuerdo 33 de 2001, se establecen estímulos e incentivos para los consejeros y consejeras locales de juventud en el Distrito Capital y se dictan otras disposiciones”</w:t>
            </w: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 xml:space="preserve"> H.C. Julián David Rodríguez Sastoque</w:t>
            </w: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H.C. Javier Alejandro Ospina Rodríguez (Coordinador) ponencia positiva con modificaciones y H.C. Luis Carlos Leal Angarita ponencia positiva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Remitido a la respectiva comisión el día 30 de julio de 2023.</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COMUNICACION  DE PONENTES ENVIADA POR CORREO ELECTRÓNICO DESDE SECRETARIA GENERAL.</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AGOSTO 2023.</w:t>
            </w:r>
          </w:p>
        </w:tc>
      </w:tr>
      <w:tr w:rsidR="00157BF1">
        <w:trPr>
          <w:trHeight w:val="1867"/>
        </w:trPr>
        <w:tc>
          <w:tcPr>
            <w:tcW w:w="2550" w:type="dxa"/>
            <w:shd w:val="clear" w:color="auto" w:fill="auto"/>
            <w:tcMar>
              <w:top w:w="100" w:type="dxa"/>
              <w:left w:w="100" w:type="dxa"/>
              <w:bottom w:w="100" w:type="dxa"/>
              <w:right w:w="100" w:type="dxa"/>
            </w:tcMar>
          </w:tcPr>
          <w:p w:rsidR="00157BF1" w:rsidRDefault="001B03EA">
            <w:pPr>
              <w:widowControl w:val="0"/>
              <w:jc w:val="left"/>
              <w:rPr>
                <w:b/>
                <w:sz w:val="22"/>
                <w:szCs w:val="22"/>
              </w:rPr>
            </w:pPr>
            <w:r>
              <w:rPr>
                <w:b/>
                <w:sz w:val="22"/>
                <w:szCs w:val="22"/>
              </w:rPr>
              <w:t>Proyecto de Acuerdo Distrital 591 de 2023.</w:t>
            </w:r>
          </w:p>
          <w:p w:rsidR="00157BF1" w:rsidRDefault="001B03EA">
            <w:pPr>
              <w:widowControl w:val="0"/>
              <w:jc w:val="left"/>
              <w:rPr>
                <w:b/>
                <w:sz w:val="22"/>
                <w:szCs w:val="22"/>
              </w:rPr>
            </w:pPr>
            <w:r>
              <w:rPr>
                <w:i/>
                <w:sz w:val="22"/>
                <w:szCs w:val="22"/>
              </w:rPr>
              <w:t xml:space="preserve">"Por medio del cual se modifica el Acuerdo 33 de 2001, se establecen estímulos e incentivos para los consejeros y </w:t>
            </w:r>
            <w:r>
              <w:rPr>
                <w:i/>
                <w:sz w:val="22"/>
                <w:szCs w:val="22"/>
              </w:rPr>
              <w:lastRenderedPageBreak/>
              <w:t>consejeras locales de juventud en el Distrito Capital y se dictan otras disposiciones”</w:t>
            </w:r>
          </w:p>
          <w:p w:rsidR="00157BF1" w:rsidRDefault="00157BF1">
            <w:pPr>
              <w:rPr>
                <w:sz w:val="22"/>
                <w:szCs w:val="22"/>
              </w:rPr>
            </w:pPr>
          </w:p>
          <w:p w:rsidR="00157BF1" w:rsidRDefault="00157BF1">
            <w:pPr>
              <w:rPr>
                <w:sz w:val="22"/>
                <w:szCs w:val="22"/>
              </w:rPr>
            </w:pPr>
          </w:p>
          <w:p w:rsidR="00157BF1" w:rsidRDefault="00157BF1">
            <w:pPr>
              <w:rPr>
                <w:sz w:val="22"/>
                <w:szCs w:val="22"/>
              </w:rPr>
            </w:pPr>
          </w:p>
          <w:p w:rsidR="00157BF1" w:rsidRDefault="00157BF1">
            <w:pPr>
              <w:rPr>
                <w:sz w:val="22"/>
                <w:szCs w:val="22"/>
              </w:rPr>
            </w:pPr>
          </w:p>
        </w:tc>
        <w:tc>
          <w:tcPr>
            <w:tcW w:w="189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lastRenderedPageBreak/>
              <w:t>H.C. Julián David Rodríguez Sastoque</w:t>
            </w:r>
          </w:p>
          <w:p w:rsidR="00157BF1" w:rsidRDefault="00157BF1">
            <w:pPr>
              <w:widowControl w:val="0"/>
              <w:jc w:val="left"/>
              <w:rPr>
                <w:sz w:val="22"/>
                <w:szCs w:val="22"/>
              </w:rPr>
            </w:pPr>
          </w:p>
        </w:tc>
        <w:tc>
          <w:tcPr>
            <w:tcW w:w="1995"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t xml:space="preserve">H.C. Javier Alejandro Ospina Rodríguez (Coordinador) ponencia positiva con modificaciones y </w:t>
            </w:r>
            <w:r>
              <w:rPr>
                <w:sz w:val="22"/>
                <w:szCs w:val="22"/>
              </w:rPr>
              <w:lastRenderedPageBreak/>
              <w:t>H.C. Luis Carlos Leal Angarita ponencia positiva con modificaciones.</w:t>
            </w:r>
          </w:p>
        </w:tc>
        <w:tc>
          <w:tcPr>
            <w:tcW w:w="2940" w:type="dxa"/>
            <w:shd w:val="clear" w:color="auto" w:fill="auto"/>
            <w:tcMar>
              <w:top w:w="100" w:type="dxa"/>
              <w:left w:w="100" w:type="dxa"/>
              <w:bottom w:w="100" w:type="dxa"/>
              <w:right w:w="100" w:type="dxa"/>
            </w:tcMar>
          </w:tcPr>
          <w:p w:rsidR="00157BF1" w:rsidRDefault="001B03EA">
            <w:pPr>
              <w:widowControl w:val="0"/>
              <w:jc w:val="left"/>
              <w:rPr>
                <w:sz w:val="22"/>
                <w:szCs w:val="22"/>
              </w:rPr>
            </w:pPr>
            <w:r>
              <w:rPr>
                <w:sz w:val="22"/>
                <w:szCs w:val="22"/>
              </w:rPr>
              <w:lastRenderedPageBreak/>
              <w:t>Remitido a la respectiva comisión el día 02 de octubre  de 2023</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 xml:space="preserve">COMUNICACION  DE PONENTES ENVIADA POR CORREO </w:t>
            </w:r>
            <w:r>
              <w:rPr>
                <w:sz w:val="22"/>
                <w:szCs w:val="22"/>
              </w:rPr>
              <w:lastRenderedPageBreak/>
              <w:t xml:space="preserve">ELECTRÓNICO DESDE SECRETARIA GENERAl </w:t>
            </w:r>
          </w:p>
          <w:p w:rsidR="00157BF1" w:rsidRDefault="00157BF1">
            <w:pPr>
              <w:widowControl w:val="0"/>
              <w:jc w:val="left"/>
              <w:rPr>
                <w:sz w:val="22"/>
                <w:szCs w:val="22"/>
              </w:rPr>
            </w:pPr>
          </w:p>
          <w:p w:rsidR="00157BF1" w:rsidRDefault="001B03EA">
            <w:pPr>
              <w:widowControl w:val="0"/>
              <w:jc w:val="left"/>
              <w:rPr>
                <w:sz w:val="22"/>
                <w:szCs w:val="22"/>
              </w:rPr>
            </w:pPr>
            <w:r>
              <w:rPr>
                <w:sz w:val="22"/>
                <w:szCs w:val="22"/>
              </w:rPr>
              <w:t>ARCHIVADO EN VIRTUD DEL ART. 17  DEL ACUERDO 837 DE 2022 - SESIONES ORDINARIAS MES NOVIEMBRE 2023</w:t>
            </w:r>
          </w:p>
        </w:tc>
      </w:tr>
    </w:tbl>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2" w:name="_heading=h.1fob9te" w:colFirst="0" w:colLast="0"/>
      <w:bookmarkEnd w:id="2"/>
      <w:r>
        <w:rPr>
          <w:b/>
          <w:color w:val="000000"/>
          <w:sz w:val="22"/>
          <w:szCs w:val="22"/>
        </w:rPr>
        <w:lastRenderedPageBreak/>
        <w:t>JUSTIFICACIÓN</w:t>
      </w:r>
      <w:r>
        <w:rPr>
          <w:color w:val="000000"/>
          <w:vertAlign w:val="superscript"/>
        </w:rPr>
        <w:footnoteReference w:id="1"/>
      </w:r>
    </w:p>
    <w:p w:rsidR="00157BF1" w:rsidRDefault="001B03EA">
      <w:pPr>
        <w:keepNext/>
        <w:keepLines/>
        <w:pBdr>
          <w:top w:val="nil"/>
          <w:left w:val="nil"/>
          <w:bottom w:val="nil"/>
          <w:right w:val="nil"/>
          <w:between w:val="nil"/>
        </w:pBdr>
        <w:spacing w:after="120"/>
        <w:rPr>
          <w:sz w:val="22"/>
          <w:szCs w:val="22"/>
        </w:rPr>
      </w:pPr>
      <w:bookmarkStart w:id="3" w:name="_heading=h.5730xuhp6bl" w:colFirst="0" w:colLast="0"/>
      <w:bookmarkStart w:id="4" w:name="_heading=h.1b96uc8rtqkc" w:colFirst="0" w:colLast="0"/>
      <w:bookmarkEnd w:id="3"/>
      <w:bookmarkEnd w:id="4"/>
      <w:r>
        <w:rPr>
          <w:sz w:val="22"/>
          <w:szCs w:val="22"/>
        </w:rPr>
        <w:t>Los autores del proyecto de acuerdo establecen que de acuerdo con el Censo realizado en 2018, Colombia contaba con una población total de 48.258.494 personas, de las cuales el 26,1 % corresponde a jóvenes entre 14 y 28 años, lo que representa aproximadamente 12,7 millones de personas, distribuidas de manera casi equitativa entre hombres y mujeres.</w:t>
      </w:r>
    </w:p>
    <w:p w:rsidR="00157BF1" w:rsidRDefault="001B03EA">
      <w:pPr>
        <w:keepNext/>
        <w:keepLines/>
        <w:pBdr>
          <w:top w:val="nil"/>
          <w:left w:val="nil"/>
          <w:bottom w:val="nil"/>
          <w:right w:val="nil"/>
          <w:between w:val="nil"/>
        </w:pBdr>
        <w:spacing w:after="120"/>
        <w:rPr>
          <w:sz w:val="22"/>
          <w:szCs w:val="22"/>
        </w:rPr>
      </w:pPr>
      <w:bookmarkStart w:id="5" w:name="_heading=h.pdokve152wli" w:colFirst="0" w:colLast="0"/>
      <w:bookmarkEnd w:id="5"/>
      <w:r>
        <w:rPr>
          <w:sz w:val="22"/>
          <w:szCs w:val="22"/>
        </w:rPr>
        <w:t>Así mismo, citan las proyecciones realizadas por el DANE en 2023, en donde “</w:t>
      </w:r>
      <w:r>
        <w:rPr>
          <w:i/>
          <w:sz w:val="22"/>
          <w:szCs w:val="22"/>
        </w:rPr>
        <w:t>Bogotá cuenta con 1.753.316 jóvenes en 2025, lo que representa el 22% del total de la población del Distrito Capital, siendo el 50,2% son hombres y 49,8% mujeres”.</w:t>
      </w:r>
      <w:r>
        <w:rPr>
          <w:sz w:val="22"/>
          <w:szCs w:val="22"/>
        </w:rPr>
        <w:t xml:space="preserve"> Siendo las localidades de Suba, Kennedy, Bosa y Engativá las que más jóvenes reúnen en el Distrito Capital, siendo el 50% de las juventudes en Bogotá</w:t>
      </w:r>
      <w:r>
        <w:rPr>
          <w:i/>
          <w:sz w:val="22"/>
          <w:szCs w:val="22"/>
        </w:rPr>
        <w:t>.</w:t>
      </w:r>
    </w:p>
    <w:p w:rsidR="00157BF1" w:rsidRDefault="001B03EA">
      <w:pPr>
        <w:keepNext/>
        <w:keepLines/>
        <w:pBdr>
          <w:top w:val="nil"/>
          <w:left w:val="nil"/>
          <w:bottom w:val="nil"/>
          <w:right w:val="nil"/>
          <w:between w:val="nil"/>
        </w:pBdr>
        <w:spacing w:after="120"/>
        <w:rPr>
          <w:sz w:val="22"/>
          <w:szCs w:val="22"/>
        </w:rPr>
      </w:pPr>
      <w:r>
        <w:rPr>
          <w:sz w:val="22"/>
          <w:szCs w:val="22"/>
        </w:rPr>
        <w:t xml:space="preserve">Los autores, señalan que diversidad de estudios demuestran que el apoyo institucional a los jóvenes es débil, según la Veeduría Distrital (2021) reportó que el </w:t>
      </w:r>
      <w:r>
        <w:rPr>
          <w:b/>
          <w:sz w:val="22"/>
          <w:szCs w:val="22"/>
        </w:rPr>
        <w:t>81%</w:t>
      </w:r>
      <w:r>
        <w:rPr>
          <w:sz w:val="22"/>
          <w:szCs w:val="22"/>
        </w:rPr>
        <w:t xml:space="preserve"> de los jóvenes encuestados percibe una falta de apoyo institucional a la participación juvenil, mientras que sólo un </w:t>
      </w:r>
      <w:r>
        <w:rPr>
          <w:b/>
          <w:sz w:val="22"/>
          <w:szCs w:val="22"/>
        </w:rPr>
        <w:t>8,7</w:t>
      </w:r>
      <w:r>
        <w:rPr>
          <w:sz w:val="22"/>
          <w:szCs w:val="22"/>
        </w:rPr>
        <w:t xml:space="preserve"> % considera que sí hay respaldo.</w:t>
      </w:r>
    </w:p>
    <w:p w:rsidR="00157BF1" w:rsidRDefault="001B03EA">
      <w:pPr>
        <w:tabs>
          <w:tab w:val="left" w:pos="1110"/>
        </w:tabs>
        <w:rPr>
          <w:sz w:val="22"/>
          <w:szCs w:val="22"/>
        </w:rPr>
        <w:sectPr w:rsidR="00157BF1">
          <w:headerReference w:type="default" r:id="rId13"/>
          <w:footerReference w:type="default" r:id="rId14"/>
          <w:pgSz w:w="12242" w:h="15842"/>
          <w:pgMar w:top="1701" w:right="1701" w:bottom="1701" w:left="1701" w:header="1134" w:footer="851" w:gutter="0"/>
          <w:cols w:space="720"/>
        </w:sectPr>
      </w:pPr>
      <w:r>
        <w:rPr>
          <w:sz w:val="22"/>
          <w:szCs w:val="22"/>
        </w:rPr>
        <w:t>Los autores concluyen que los Consejos Municipales de Juventud enfrentan múltiples dificultades que limitan el ejercicio pleno de su labor. Entre ellas se destacan la falta de espacios adecuados para sesionar, demoras en los estímulos económicos, escaso reconocimiento institucional, baja preparación técnica, limitada autonomía financiera, entre otros, lo que evidencia una falta de garantías reales para la participación juvenil.</w:t>
      </w:r>
    </w:p>
    <w:p w:rsidR="00157BF1" w:rsidRDefault="001B03EA">
      <w:pPr>
        <w:keepNext/>
        <w:keepLines/>
        <w:pBdr>
          <w:top w:val="nil"/>
          <w:left w:val="nil"/>
          <w:bottom w:val="nil"/>
          <w:right w:val="nil"/>
          <w:between w:val="nil"/>
        </w:pBdr>
        <w:spacing w:before="480" w:after="120"/>
        <w:rPr>
          <w:b/>
          <w:color w:val="000000"/>
          <w:sz w:val="22"/>
          <w:szCs w:val="22"/>
        </w:rPr>
      </w:pPr>
      <w:bookmarkStart w:id="6" w:name="_heading=h.3znysh7" w:colFirst="0" w:colLast="0"/>
      <w:bookmarkEnd w:id="6"/>
      <w:r>
        <w:rPr>
          <w:b/>
          <w:color w:val="000000"/>
          <w:sz w:val="22"/>
          <w:szCs w:val="22"/>
        </w:rPr>
        <w:t>4</w:t>
      </w:r>
      <w:r>
        <w:rPr>
          <w:b/>
          <w:sz w:val="22"/>
          <w:szCs w:val="22"/>
        </w:rPr>
        <w:t>. MARCO</w:t>
      </w:r>
      <w:r>
        <w:rPr>
          <w:b/>
          <w:color w:val="000000"/>
          <w:sz w:val="22"/>
          <w:szCs w:val="22"/>
        </w:rPr>
        <w:t xml:space="preserve"> JURÍDICO</w:t>
      </w:r>
    </w:p>
    <w:p w:rsidR="00157BF1" w:rsidRDefault="001B03EA">
      <w:pPr>
        <w:rPr>
          <w:sz w:val="22"/>
          <w:szCs w:val="22"/>
        </w:rPr>
      </w:pPr>
      <w:bookmarkStart w:id="7" w:name="_heading=h.6rt7fq17wt9p" w:colFirst="0" w:colLast="0"/>
      <w:bookmarkEnd w:id="7"/>
      <w:r>
        <w:rPr>
          <w:sz w:val="22"/>
          <w:szCs w:val="22"/>
        </w:rPr>
        <w:t xml:space="preserve">Esta iniciativa se enmarca, en su orden, en el siguiente marco jurídico. </w:t>
      </w:r>
    </w:p>
    <w:p w:rsidR="00157BF1" w:rsidRDefault="00157BF1">
      <w:pPr>
        <w:rPr>
          <w:sz w:val="22"/>
          <w:szCs w:val="22"/>
        </w:rPr>
      </w:pPr>
    </w:p>
    <w:p w:rsidR="00157BF1" w:rsidRDefault="001B03EA">
      <w:pPr>
        <w:rPr>
          <w:sz w:val="22"/>
          <w:szCs w:val="22"/>
        </w:rPr>
      </w:pPr>
      <w:r>
        <w:rPr>
          <w:b/>
          <w:color w:val="000000"/>
          <w:sz w:val="22"/>
          <w:szCs w:val="22"/>
        </w:rPr>
        <w:t>De orden internacional.</w:t>
      </w:r>
    </w:p>
    <w:p w:rsidR="00130B4C" w:rsidRDefault="00130B4C">
      <w:pPr>
        <w:rPr>
          <w:b/>
          <w:color w:val="000000"/>
          <w:sz w:val="22"/>
          <w:szCs w:val="22"/>
        </w:rPr>
      </w:pPr>
    </w:p>
    <w:p w:rsidR="00157BF1" w:rsidRDefault="001B03EA">
      <w:pPr>
        <w:rPr>
          <w:sz w:val="22"/>
          <w:szCs w:val="22"/>
        </w:rPr>
      </w:pPr>
      <w:r>
        <w:rPr>
          <w:b/>
          <w:color w:val="000000"/>
          <w:sz w:val="22"/>
          <w:szCs w:val="22"/>
        </w:rPr>
        <w:t>Declaración Universal de Derechos Humanos de 1948.</w:t>
      </w:r>
    </w:p>
    <w:p w:rsidR="00157BF1" w:rsidRDefault="00157BF1">
      <w:pPr>
        <w:rPr>
          <w:sz w:val="22"/>
          <w:szCs w:val="22"/>
        </w:rPr>
      </w:pPr>
    </w:p>
    <w:p w:rsidR="00157BF1" w:rsidRDefault="001B03EA">
      <w:pPr>
        <w:rPr>
          <w:sz w:val="22"/>
          <w:szCs w:val="22"/>
        </w:rPr>
      </w:pPr>
      <w:r>
        <w:rPr>
          <w:b/>
          <w:color w:val="000000"/>
          <w:sz w:val="22"/>
          <w:szCs w:val="22"/>
        </w:rPr>
        <w:t>Artículo 21:</w:t>
      </w:r>
    </w:p>
    <w:p w:rsidR="00157BF1" w:rsidRDefault="00157BF1">
      <w:pPr>
        <w:rPr>
          <w:sz w:val="22"/>
          <w:szCs w:val="22"/>
        </w:rPr>
      </w:pPr>
    </w:p>
    <w:p w:rsidR="00157BF1" w:rsidRDefault="001B03EA">
      <w:pPr>
        <w:rPr>
          <w:sz w:val="22"/>
          <w:szCs w:val="22"/>
        </w:rPr>
      </w:pPr>
      <w:r>
        <w:rPr>
          <w:color w:val="000000"/>
          <w:sz w:val="22"/>
          <w:szCs w:val="22"/>
        </w:rPr>
        <w:t>1. Toda persona tiene derecho a participar en el gobierno de su país, directamente o por medio de representantes libremente escogidos.</w:t>
      </w:r>
    </w:p>
    <w:p w:rsidR="00157BF1" w:rsidRDefault="00157BF1">
      <w:pPr>
        <w:rPr>
          <w:sz w:val="22"/>
          <w:szCs w:val="22"/>
        </w:rPr>
      </w:pPr>
    </w:p>
    <w:p w:rsidR="00157BF1" w:rsidRDefault="001B03EA">
      <w:pPr>
        <w:rPr>
          <w:sz w:val="22"/>
          <w:szCs w:val="22"/>
        </w:rPr>
      </w:pPr>
      <w:r>
        <w:rPr>
          <w:color w:val="000000"/>
          <w:sz w:val="22"/>
          <w:szCs w:val="22"/>
        </w:rPr>
        <w:t>2. Toda persona tiene el derecho de acceso, en condiciones de igualdad, a las funciones públicas de su país.</w:t>
      </w:r>
    </w:p>
    <w:p w:rsidR="00157BF1" w:rsidRDefault="00157BF1">
      <w:pPr>
        <w:rPr>
          <w:sz w:val="22"/>
          <w:szCs w:val="22"/>
        </w:rPr>
      </w:pPr>
    </w:p>
    <w:p w:rsidR="00157BF1" w:rsidRDefault="001B03EA">
      <w:pPr>
        <w:numPr>
          <w:ilvl w:val="0"/>
          <w:numId w:val="1"/>
        </w:numPr>
        <w:pBdr>
          <w:top w:val="nil"/>
          <w:left w:val="nil"/>
          <w:bottom w:val="nil"/>
          <w:right w:val="nil"/>
          <w:between w:val="nil"/>
        </w:pBdr>
        <w:rPr>
          <w:color w:val="000000"/>
          <w:sz w:val="22"/>
          <w:szCs w:val="22"/>
        </w:rPr>
      </w:pPr>
      <w:r>
        <w:rPr>
          <w:color w:val="000000"/>
          <w:sz w:val="22"/>
          <w:szCs w:val="22"/>
        </w:rPr>
        <w:t xml:space="preserve">La voluntad del pueblo es la base de la autoridad del poder público; esta voluntad se expresará mediante elecciones auténticas que habrán de celebrarse periódicamente, por sufragio universal e igual y por voto secreto u otro procedimiento equivalente que garantice la libertad del voto. </w:t>
      </w:r>
    </w:p>
    <w:p w:rsidR="00157BF1" w:rsidRDefault="00157BF1">
      <w:pPr>
        <w:rPr>
          <w:b/>
          <w:color w:val="000000"/>
          <w:sz w:val="22"/>
          <w:szCs w:val="22"/>
        </w:rPr>
      </w:pPr>
    </w:p>
    <w:p w:rsidR="00157BF1" w:rsidRDefault="001B03EA">
      <w:pPr>
        <w:rPr>
          <w:sz w:val="22"/>
          <w:szCs w:val="22"/>
        </w:rPr>
      </w:pPr>
      <w:r>
        <w:rPr>
          <w:b/>
          <w:color w:val="000000"/>
          <w:sz w:val="22"/>
          <w:szCs w:val="22"/>
        </w:rPr>
        <w:t>Pacto Internacional de Derechos Civiles y Políticos de 1966.</w:t>
      </w:r>
    </w:p>
    <w:p w:rsidR="00157BF1" w:rsidRDefault="00157BF1">
      <w:pPr>
        <w:rPr>
          <w:sz w:val="22"/>
          <w:szCs w:val="22"/>
        </w:rPr>
      </w:pPr>
    </w:p>
    <w:p w:rsidR="00157BF1" w:rsidRDefault="001B03EA">
      <w:pPr>
        <w:rPr>
          <w:sz w:val="22"/>
          <w:szCs w:val="22"/>
        </w:rPr>
      </w:pPr>
      <w:r>
        <w:rPr>
          <w:b/>
          <w:color w:val="000000"/>
          <w:sz w:val="22"/>
          <w:szCs w:val="22"/>
        </w:rPr>
        <w:t>Artículo 25:</w:t>
      </w:r>
      <w:r>
        <w:rPr>
          <w:color w:val="000000"/>
          <w:sz w:val="22"/>
          <w:szCs w:val="22"/>
        </w:rPr>
        <w:t xml:space="preserve"> Todos los ciudadanos gozarán, sin ninguna de las distinciones mencionadas en el artículo 2, y sin restricciones indebidas, de los siguientes derechos y oportunidades:</w:t>
      </w:r>
    </w:p>
    <w:p w:rsidR="00157BF1" w:rsidRDefault="00157BF1">
      <w:pPr>
        <w:rPr>
          <w:sz w:val="22"/>
          <w:szCs w:val="22"/>
        </w:rPr>
      </w:pPr>
    </w:p>
    <w:p w:rsidR="00157BF1" w:rsidRDefault="001B03EA">
      <w:pPr>
        <w:numPr>
          <w:ilvl w:val="0"/>
          <w:numId w:val="3"/>
        </w:numPr>
        <w:pBdr>
          <w:top w:val="nil"/>
          <w:left w:val="nil"/>
          <w:bottom w:val="nil"/>
          <w:right w:val="nil"/>
          <w:between w:val="nil"/>
        </w:pBdr>
        <w:rPr>
          <w:color w:val="000000"/>
          <w:sz w:val="22"/>
          <w:szCs w:val="22"/>
        </w:rPr>
      </w:pPr>
      <w:r>
        <w:rPr>
          <w:color w:val="000000"/>
          <w:sz w:val="22"/>
          <w:szCs w:val="22"/>
        </w:rPr>
        <w:t>Participar en la dirección de los asuntos públicos, directamente o por mediode representantes libremente elegidos;</w:t>
      </w:r>
    </w:p>
    <w:p w:rsidR="00157BF1" w:rsidRDefault="00157BF1">
      <w:pPr>
        <w:ind w:left="360"/>
        <w:rPr>
          <w:sz w:val="22"/>
          <w:szCs w:val="22"/>
        </w:rPr>
      </w:pPr>
    </w:p>
    <w:p w:rsidR="00157BF1" w:rsidRDefault="001B03EA">
      <w:pPr>
        <w:rPr>
          <w:sz w:val="22"/>
          <w:szCs w:val="22"/>
        </w:rPr>
      </w:pPr>
      <w:r>
        <w:rPr>
          <w:b/>
          <w:color w:val="000000"/>
          <w:sz w:val="22"/>
          <w:szCs w:val="22"/>
        </w:rPr>
        <w:t>De orden Constitucional</w:t>
      </w:r>
    </w:p>
    <w:p w:rsidR="00157BF1" w:rsidRDefault="00157BF1">
      <w:pPr>
        <w:rPr>
          <w:sz w:val="22"/>
          <w:szCs w:val="22"/>
        </w:rPr>
      </w:pPr>
    </w:p>
    <w:p w:rsidR="00157BF1" w:rsidRDefault="001B03EA">
      <w:pPr>
        <w:rPr>
          <w:sz w:val="22"/>
          <w:szCs w:val="22"/>
        </w:rPr>
      </w:pPr>
      <w:r>
        <w:rPr>
          <w:b/>
          <w:color w:val="000000"/>
          <w:sz w:val="22"/>
          <w:szCs w:val="22"/>
        </w:rPr>
        <w:t xml:space="preserve">Artículo 1. </w:t>
      </w:r>
      <w:r>
        <w:rPr>
          <w:color w:val="000000"/>
          <w:sz w:val="22"/>
          <w:szCs w:val="22"/>
        </w:rPr>
        <w:t xml:space="preserve">Colombia es un Estado social de derecho, organizado en forma de República unitaria, descentralizada, con autonomía de sus entidades territoriales, </w:t>
      </w:r>
      <w:r>
        <w:rPr>
          <w:b/>
          <w:color w:val="000000"/>
          <w:sz w:val="22"/>
          <w:szCs w:val="22"/>
        </w:rPr>
        <w:t>democrática, participativa y pluralista</w:t>
      </w:r>
      <w:r>
        <w:rPr>
          <w:color w:val="000000"/>
          <w:sz w:val="22"/>
          <w:szCs w:val="22"/>
        </w:rPr>
        <w:t>, fundada en el respeto de la dignidad humana, en el trabajo y la solidaridad de las personas que la integran y en la prevalencia del interés general.</w:t>
      </w:r>
    </w:p>
    <w:p w:rsidR="00157BF1" w:rsidRDefault="001B03EA">
      <w:pPr>
        <w:rPr>
          <w:color w:val="000000"/>
          <w:sz w:val="22"/>
          <w:szCs w:val="22"/>
        </w:rPr>
      </w:pPr>
      <w:r>
        <w:rPr>
          <w:b/>
          <w:color w:val="000000"/>
          <w:sz w:val="22"/>
          <w:szCs w:val="22"/>
        </w:rPr>
        <w:t xml:space="preserve">Artículo 2. Son fines esenciales del Estado: </w:t>
      </w:r>
      <w:r>
        <w:rPr>
          <w:color w:val="000000"/>
          <w:sz w:val="22"/>
          <w:szCs w:val="22"/>
        </w:rPr>
        <w:t xml:space="preserve">servir a la comunidad, promover la prosperidad general y garantizar la efectividad de los principios, derechos y deberes consagrados en la Constitución; </w:t>
      </w:r>
      <w:r>
        <w:rPr>
          <w:b/>
          <w:color w:val="000000"/>
          <w:sz w:val="22"/>
          <w:szCs w:val="22"/>
        </w:rPr>
        <w:t>facilitar la participación de todos en las decisiones que los afectan y en la vida económica, política, administrativa y cultural de la Nación;</w:t>
      </w:r>
      <w:r>
        <w:rPr>
          <w:color w:val="000000"/>
          <w:sz w:val="22"/>
          <w:szCs w:val="22"/>
        </w:rPr>
        <w:t xml:space="preserve"> defender la independencia nacional, mantener la integridad territorial y asegurar la convivencia pacífica y la vigencia de un orden justo.</w:t>
      </w:r>
    </w:p>
    <w:p w:rsidR="00157BF1" w:rsidRDefault="001B03EA">
      <w:pPr>
        <w:rPr>
          <w:sz w:val="22"/>
          <w:szCs w:val="22"/>
        </w:rPr>
      </w:pPr>
      <w:r>
        <w:rPr>
          <w:color w:val="000000"/>
          <w:sz w:val="22"/>
          <w:szCs w:val="22"/>
        </w:rPr>
        <w:t>(…)</w:t>
      </w:r>
    </w:p>
    <w:p w:rsidR="00157BF1" w:rsidRDefault="001B03EA">
      <w:pPr>
        <w:keepNext/>
        <w:keepLines/>
        <w:pBdr>
          <w:top w:val="nil"/>
          <w:left w:val="nil"/>
          <w:bottom w:val="nil"/>
          <w:right w:val="nil"/>
          <w:between w:val="nil"/>
        </w:pBdr>
        <w:spacing w:after="80"/>
        <w:rPr>
          <w:color w:val="000000"/>
          <w:sz w:val="22"/>
          <w:szCs w:val="22"/>
        </w:rPr>
      </w:pPr>
      <w:r>
        <w:rPr>
          <w:b/>
          <w:color w:val="000000"/>
          <w:sz w:val="22"/>
          <w:szCs w:val="22"/>
        </w:rPr>
        <w:lastRenderedPageBreak/>
        <w:t>Articulo 45.</w:t>
      </w:r>
      <w:r>
        <w:rPr>
          <w:color w:val="000000"/>
          <w:sz w:val="22"/>
          <w:szCs w:val="22"/>
        </w:rPr>
        <w:t xml:space="preserve"> El adolescente tiene derecho a la protección y a la formación integral.</w:t>
      </w:r>
    </w:p>
    <w:p w:rsidR="00157BF1" w:rsidRDefault="001B03EA">
      <w:pPr>
        <w:keepNext/>
        <w:keepLines/>
        <w:pBdr>
          <w:top w:val="nil"/>
          <w:left w:val="nil"/>
          <w:bottom w:val="nil"/>
          <w:right w:val="nil"/>
          <w:between w:val="nil"/>
        </w:pBdr>
        <w:spacing w:after="80"/>
        <w:rPr>
          <w:color w:val="000000"/>
          <w:sz w:val="22"/>
          <w:szCs w:val="22"/>
        </w:rPr>
      </w:pPr>
      <w:r>
        <w:rPr>
          <w:color w:val="000000"/>
          <w:sz w:val="22"/>
          <w:szCs w:val="22"/>
        </w:rPr>
        <w:t>El Estado y la sociedad garantizan la participación activa de los jóvenes en los organismos públicos y privados que tengan a cargo la protección, educación y progreso de la juventud.</w:t>
      </w:r>
    </w:p>
    <w:p w:rsidR="00157BF1" w:rsidRDefault="00157BF1">
      <w:pPr>
        <w:keepNext/>
        <w:keepLines/>
        <w:pBdr>
          <w:top w:val="nil"/>
          <w:left w:val="nil"/>
          <w:bottom w:val="nil"/>
          <w:right w:val="nil"/>
          <w:between w:val="nil"/>
        </w:pBdr>
        <w:spacing w:after="80"/>
        <w:rPr>
          <w:color w:val="000000"/>
          <w:sz w:val="22"/>
          <w:szCs w:val="22"/>
        </w:rPr>
      </w:pPr>
    </w:p>
    <w:p w:rsidR="00157BF1" w:rsidRDefault="001B03EA">
      <w:pPr>
        <w:keepNext/>
        <w:keepLines/>
        <w:pBdr>
          <w:top w:val="nil"/>
          <w:left w:val="nil"/>
          <w:bottom w:val="nil"/>
          <w:right w:val="nil"/>
          <w:between w:val="nil"/>
        </w:pBdr>
        <w:spacing w:after="80"/>
        <w:rPr>
          <w:color w:val="000000"/>
          <w:sz w:val="22"/>
          <w:szCs w:val="22"/>
        </w:rPr>
      </w:pPr>
      <w:r>
        <w:rPr>
          <w:color w:val="000000"/>
          <w:sz w:val="22"/>
          <w:szCs w:val="22"/>
        </w:rPr>
        <w:t>(...)</w:t>
      </w:r>
    </w:p>
    <w:p w:rsidR="00157BF1" w:rsidRDefault="001B03EA">
      <w:pPr>
        <w:keepNext/>
        <w:keepLines/>
        <w:pBdr>
          <w:top w:val="nil"/>
          <w:left w:val="nil"/>
          <w:bottom w:val="nil"/>
          <w:right w:val="nil"/>
          <w:between w:val="nil"/>
        </w:pBdr>
        <w:spacing w:after="80"/>
        <w:rPr>
          <w:color w:val="000000"/>
          <w:sz w:val="22"/>
          <w:szCs w:val="22"/>
        </w:rPr>
      </w:pPr>
      <w:r>
        <w:rPr>
          <w:b/>
          <w:color w:val="000000"/>
          <w:sz w:val="22"/>
          <w:szCs w:val="22"/>
        </w:rPr>
        <w:t xml:space="preserve">Artículo 79: (...) </w:t>
      </w:r>
      <w:r>
        <w:rPr>
          <w:color w:val="000000"/>
          <w:sz w:val="22"/>
          <w:szCs w:val="22"/>
        </w:rPr>
        <w:t>La ley garantizará la participación de la comunidad en las decisiones que puedan afectarlo.</w:t>
      </w:r>
    </w:p>
    <w:p w:rsidR="00157BF1" w:rsidRDefault="001B03EA">
      <w:pPr>
        <w:keepNext/>
        <w:keepLines/>
        <w:pBdr>
          <w:top w:val="nil"/>
          <w:left w:val="nil"/>
          <w:bottom w:val="nil"/>
          <w:right w:val="nil"/>
          <w:between w:val="nil"/>
        </w:pBdr>
        <w:spacing w:after="80"/>
        <w:rPr>
          <w:color w:val="000000"/>
          <w:sz w:val="22"/>
          <w:szCs w:val="22"/>
        </w:rPr>
      </w:pPr>
      <w:r>
        <w:rPr>
          <w:b/>
          <w:color w:val="000000"/>
          <w:sz w:val="22"/>
          <w:szCs w:val="22"/>
        </w:rPr>
        <w:t xml:space="preserve"> </w:t>
      </w:r>
      <w:r>
        <w:rPr>
          <w:color w:val="000000"/>
          <w:sz w:val="22"/>
          <w:szCs w:val="22"/>
        </w:rPr>
        <w:t>(...)</w:t>
      </w:r>
    </w:p>
    <w:p w:rsidR="00157BF1" w:rsidRDefault="00157BF1">
      <w:pPr>
        <w:rPr>
          <w:b/>
          <w:sz w:val="22"/>
          <w:szCs w:val="22"/>
        </w:rPr>
      </w:pPr>
    </w:p>
    <w:p w:rsidR="00157BF1" w:rsidRDefault="001B03EA">
      <w:pPr>
        <w:rPr>
          <w:sz w:val="22"/>
          <w:szCs w:val="22"/>
        </w:rPr>
      </w:pPr>
      <w:bookmarkStart w:id="8" w:name="_heading=h.rza375audz42" w:colFirst="0" w:colLast="0"/>
      <w:bookmarkEnd w:id="8"/>
      <w:r>
        <w:rPr>
          <w:b/>
          <w:sz w:val="22"/>
          <w:szCs w:val="22"/>
        </w:rPr>
        <w:t>Artículo 103</w:t>
      </w:r>
      <w:r>
        <w:rPr>
          <w:sz w:val="22"/>
          <w:szCs w:val="22"/>
        </w:rPr>
        <w:t>: El Estado contribuirá a la organización, promoción y capacitación de las asociaciones profesionales, cívicas, sindicales, comunitarias, juveniles, benéficas o de utilidad común no gubernamentales, sin detrimento de su autonomía con el objeto de que constituyan mecanismos democráticos de representación en las diferentes instancias de participación, concertación, control y vigilancia de la gestión pública que se establezcan.</w:t>
      </w:r>
    </w:p>
    <w:p w:rsidR="00157BF1" w:rsidRDefault="001B03EA">
      <w:pPr>
        <w:keepNext/>
        <w:keepLines/>
        <w:pBdr>
          <w:top w:val="nil"/>
          <w:left w:val="nil"/>
          <w:bottom w:val="nil"/>
          <w:right w:val="nil"/>
          <w:between w:val="nil"/>
        </w:pBdr>
        <w:spacing w:after="80"/>
        <w:rPr>
          <w:color w:val="000000"/>
          <w:sz w:val="22"/>
          <w:szCs w:val="22"/>
        </w:rPr>
      </w:pPr>
      <w:bookmarkStart w:id="9" w:name="_heading=h.tyjcwt" w:colFirst="0" w:colLast="0"/>
      <w:bookmarkEnd w:id="9"/>
      <w:r>
        <w:rPr>
          <w:color w:val="000000"/>
          <w:sz w:val="22"/>
          <w:szCs w:val="22"/>
        </w:rPr>
        <w:t>(...)</w:t>
      </w:r>
    </w:p>
    <w:p w:rsidR="00157BF1" w:rsidRDefault="001B03EA">
      <w:pPr>
        <w:keepNext/>
        <w:keepLines/>
        <w:pBdr>
          <w:top w:val="nil"/>
          <w:left w:val="nil"/>
          <w:bottom w:val="nil"/>
          <w:right w:val="nil"/>
          <w:between w:val="nil"/>
        </w:pBdr>
        <w:spacing w:after="80"/>
        <w:rPr>
          <w:color w:val="000000"/>
          <w:sz w:val="22"/>
          <w:szCs w:val="22"/>
        </w:rPr>
      </w:pPr>
      <w:r>
        <w:rPr>
          <w:b/>
          <w:color w:val="000000"/>
          <w:sz w:val="22"/>
          <w:szCs w:val="22"/>
        </w:rPr>
        <w:t xml:space="preserve">Artículo 209: </w:t>
      </w:r>
      <w:r>
        <w:rPr>
          <w:color w:val="000000"/>
          <w:sz w:val="22"/>
          <w:szCs w:val="22"/>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rsidR="00157BF1" w:rsidRDefault="001B03EA">
      <w:pPr>
        <w:keepNext/>
        <w:keepLines/>
        <w:pBdr>
          <w:top w:val="nil"/>
          <w:left w:val="nil"/>
          <w:bottom w:val="nil"/>
          <w:right w:val="nil"/>
          <w:between w:val="nil"/>
        </w:pBdr>
        <w:spacing w:after="80"/>
        <w:rPr>
          <w:color w:val="000000"/>
          <w:sz w:val="22"/>
          <w:szCs w:val="22"/>
        </w:rPr>
      </w:pPr>
      <w:r>
        <w:rPr>
          <w:color w:val="000000"/>
          <w:sz w:val="22"/>
          <w:szCs w:val="22"/>
        </w:rPr>
        <w:t>(...)</w:t>
      </w:r>
    </w:p>
    <w:p w:rsidR="00157BF1" w:rsidRDefault="001B03EA">
      <w:pPr>
        <w:keepNext/>
        <w:keepLines/>
        <w:pBdr>
          <w:top w:val="nil"/>
          <w:left w:val="nil"/>
          <w:bottom w:val="nil"/>
          <w:right w:val="nil"/>
          <w:between w:val="nil"/>
        </w:pBdr>
        <w:spacing w:after="80"/>
        <w:rPr>
          <w:color w:val="000000"/>
          <w:sz w:val="22"/>
          <w:szCs w:val="22"/>
        </w:rPr>
      </w:pPr>
      <w:r>
        <w:rPr>
          <w:b/>
          <w:color w:val="000000"/>
          <w:sz w:val="22"/>
          <w:szCs w:val="22"/>
        </w:rPr>
        <w:t>Artículo 270</w:t>
      </w:r>
      <w:r>
        <w:rPr>
          <w:color w:val="000000"/>
          <w:sz w:val="22"/>
          <w:szCs w:val="22"/>
        </w:rPr>
        <w:t>. La ley organizará las formas y los sistemas de participación ciudadana que permitan vigilar la gestión pública que se cumpla en los diversos niveles administrativos y sus resultados.</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t xml:space="preserve">De orden legal </w:t>
      </w:r>
    </w:p>
    <w:p w:rsidR="00157BF1" w:rsidRDefault="001B03EA">
      <w:pPr>
        <w:rPr>
          <w:sz w:val="22"/>
          <w:szCs w:val="22"/>
        </w:rPr>
      </w:pPr>
      <w:r>
        <w:rPr>
          <w:b/>
          <w:sz w:val="22"/>
          <w:szCs w:val="22"/>
        </w:rPr>
        <w:t>Decreto ley 1421 de 1991.</w:t>
      </w:r>
      <w:r>
        <w:rPr>
          <w:sz w:val="22"/>
          <w:szCs w:val="22"/>
        </w:rPr>
        <w:t xml:space="preserve"> </w:t>
      </w:r>
      <w:r>
        <w:rPr>
          <w:b/>
          <w:i/>
          <w:sz w:val="22"/>
          <w:szCs w:val="22"/>
        </w:rPr>
        <w:t>"Por el cual se dicta el régimen especial para el Distrito Capital de Santafé de Bogotá”.</w:t>
      </w:r>
    </w:p>
    <w:p w:rsidR="00157BF1" w:rsidRDefault="00157BF1">
      <w:pPr>
        <w:rPr>
          <w:sz w:val="20"/>
          <w:szCs w:val="20"/>
        </w:rPr>
      </w:pPr>
      <w:bookmarkStart w:id="10" w:name="_heading=h.oz365bc8ozm6" w:colFirst="0" w:colLast="0"/>
      <w:bookmarkEnd w:id="10"/>
    </w:p>
    <w:p w:rsidR="00157BF1" w:rsidRDefault="001B03EA">
      <w:pPr>
        <w:rPr>
          <w:sz w:val="22"/>
          <w:szCs w:val="22"/>
        </w:rPr>
      </w:pPr>
      <w:r>
        <w:rPr>
          <w:b/>
          <w:sz w:val="22"/>
          <w:szCs w:val="22"/>
        </w:rPr>
        <w:t>Artículo 6. Participación comunitaria y veeduría ciudadana.</w:t>
      </w:r>
      <w:r>
        <w:rPr>
          <w:sz w:val="22"/>
          <w:szCs w:val="22"/>
        </w:rPr>
        <w:t xml:space="preserve"> Las autoridades distritales promoverán la organización de los habitantes y comunidades del Distrito y estimularán la creación de las asociaciones profesionales, culturales, cívicas, populares, comunitarias y juveniles que sirvan de mecanismo de representación en las distintas instancias de participación, concertación y vigilancia de la gestión distrital y local.</w:t>
      </w:r>
    </w:p>
    <w:p w:rsidR="00157BF1" w:rsidRDefault="00157BF1">
      <w:pPr>
        <w:rPr>
          <w:sz w:val="22"/>
          <w:szCs w:val="22"/>
        </w:rPr>
      </w:pPr>
    </w:p>
    <w:p w:rsidR="00157BF1" w:rsidRDefault="001B03EA">
      <w:pPr>
        <w:rPr>
          <w:sz w:val="22"/>
          <w:szCs w:val="22"/>
        </w:rPr>
      </w:pPr>
      <w:r>
        <w:rPr>
          <w:sz w:val="22"/>
          <w:szCs w:val="22"/>
        </w:rPr>
        <w:t>De conformidad con lo que disponga la ley, el Concejo dictará las normas necesarias para asegurar la vigencia de las instituciones y mecanismos de participación ciudadana y comunitaria y estimular y fortalecer los procedimientos que garanticen la veeduría ciudadana frente a la gestión y la contratación administrativas.</w:t>
      </w:r>
    </w:p>
    <w:p w:rsidR="00157BF1" w:rsidRDefault="00157BF1"/>
    <w:p w:rsidR="00157BF1" w:rsidRDefault="001B03EA">
      <w:r>
        <w:t>(...)</w:t>
      </w:r>
    </w:p>
    <w:p w:rsidR="00157BF1" w:rsidRDefault="00157BF1"/>
    <w:p w:rsidR="00157BF1" w:rsidRDefault="001B03EA">
      <w:pPr>
        <w:rPr>
          <w:b/>
          <w:sz w:val="22"/>
          <w:szCs w:val="22"/>
        </w:rPr>
      </w:pPr>
      <w:r>
        <w:rPr>
          <w:b/>
          <w:sz w:val="22"/>
          <w:szCs w:val="22"/>
        </w:rPr>
        <w:t xml:space="preserve">Ley 105 de 1993 </w:t>
      </w:r>
      <w:r>
        <w:rPr>
          <w:b/>
          <w:i/>
          <w:sz w:val="22"/>
          <w:szCs w:val="22"/>
        </w:rPr>
        <w:t>“Por la cual se dictan disposiciones básicas sobre el transporte, se redistribuyen competencias y recursos entre la Nación y las Entidades Territoriales, se reglamenta la planeación en el sector transporte y se dictan otras disposiciones</w:t>
      </w:r>
      <w:r>
        <w:rPr>
          <w:b/>
          <w:sz w:val="22"/>
          <w:szCs w:val="22"/>
        </w:rPr>
        <w:t>.”</w:t>
      </w:r>
    </w:p>
    <w:p w:rsidR="00157BF1" w:rsidRDefault="00157BF1">
      <w:pPr>
        <w:rPr>
          <w:b/>
          <w:sz w:val="22"/>
          <w:szCs w:val="22"/>
        </w:rPr>
      </w:pPr>
    </w:p>
    <w:p w:rsidR="00157BF1" w:rsidRDefault="001B03EA">
      <w:pPr>
        <w:rPr>
          <w:b/>
          <w:sz w:val="22"/>
          <w:szCs w:val="22"/>
        </w:rPr>
      </w:pPr>
      <w:r>
        <w:rPr>
          <w:b/>
          <w:sz w:val="22"/>
          <w:szCs w:val="22"/>
        </w:rPr>
        <w:t>Artículo 2.- Principios Fundamentales.</w:t>
      </w:r>
    </w:p>
    <w:p w:rsidR="00157BF1" w:rsidRDefault="00157BF1">
      <w:pPr>
        <w:rPr>
          <w:b/>
          <w:sz w:val="22"/>
          <w:szCs w:val="22"/>
        </w:rPr>
      </w:pPr>
    </w:p>
    <w:p w:rsidR="00157BF1" w:rsidRDefault="001B03EA">
      <w:pPr>
        <w:rPr>
          <w:b/>
          <w:sz w:val="22"/>
          <w:szCs w:val="22"/>
        </w:rPr>
      </w:pPr>
      <w:r>
        <w:rPr>
          <w:b/>
          <w:sz w:val="22"/>
          <w:szCs w:val="22"/>
        </w:rPr>
        <w:t xml:space="preserve">a) De la soberanía del pueblo: </w:t>
      </w:r>
      <w:r>
        <w:rPr>
          <w:sz w:val="22"/>
          <w:szCs w:val="22"/>
        </w:rPr>
        <w:t>La soberanía reside exclusivamente en el pueblo, del cual emana el poder público. El pueblo la ejerce en forma directa por medio de sus representantes, en los términos que la Constitución establece. Corresponde al Estado garantizar la soberanía completa y exclusiva sobre el territorio, el espacio aéreo y el mar territorial.</w:t>
      </w:r>
    </w:p>
    <w:p w:rsidR="00157BF1" w:rsidRDefault="00157BF1">
      <w:pPr>
        <w:rPr>
          <w:b/>
          <w:sz w:val="22"/>
          <w:szCs w:val="22"/>
        </w:rPr>
      </w:pPr>
    </w:p>
    <w:p w:rsidR="00157BF1" w:rsidRDefault="001B03EA">
      <w:pPr>
        <w:rPr>
          <w:sz w:val="22"/>
          <w:szCs w:val="22"/>
        </w:rPr>
      </w:pPr>
      <w:r>
        <w:rPr>
          <w:b/>
          <w:sz w:val="22"/>
          <w:szCs w:val="22"/>
        </w:rPr>
        <w:t xml:space="preserve">b) De la intervención del Estado: </w:t>
      </w:r>
      <w:r>
        <w:rPr>
          <w:sz w:val="22"/>
          <w:szCs w:val="22"/>
        </w:rPr>
        <w:t>Corresponde al Estado la planeación, el control, la regulación y la vigilancia del transporte y de las actividades a él vinculadas.</w:t>
      </w:r>
    </w:p>
    <w:p w:rsidR="00157BF1" w:rsidRDefault="00157BF1">
      <w:pPr>
        <w:rPr>
          <w:sz w:val="22"/>
          <w:szCs w:val="22"/>
        </w:rPr>
      </w:pPr>
    </w:p>
    <w:p w:rsidR="00157BF1" w:rsidRDefault="001B03EA">
      <w:pPr>
        <w:rPr>
          <w:b/>
          <w:i/>
          <w:sz w:val="22"/>
          <w:szCs w:val="22"/>
        </w:rPr>
      </w:pPr>
      <w:r>
        <w:rPr>
          <w:b/>
          <w:sz w:val="22"/>
          <w:szCs w:val="22"/>
        </w:rPr>
        <w:t>Ley 489 de 1998.</w:t>
      </w:r>
      <w:r>
        <w:rPr>
          <w:sz w:val="22"/>
          <w:szCs w:val="22"/>
        </w:rPr>
        <w:t xml:space="preserve"> </w:t>
      </w:r>
      <w:r>
        <w:rPr>
          <w:b/>
          <w:i/>
          <w:sz w:val="22"/>
          <w:szCs w:val="22"/>
        </w:rPr>
        <w:t>"Por la cuál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p w:rsidR="00157BF1" w:rsidRDefault="00157BF1">
      <w:pPr>
        <w:rPr>
          <w:sz w:val="22"/>
          <w:szCs w:val="22"/>
        </w:rPr>
      </w:pPr>
    </w:p>
    <w:p w:rsidR="00130B4C" w:rsidRDefault="001B03EA" w:rsidP="00130B4C">
      <w:pPr>
        <w:rPr>
          <w:sz w:val="22"/>
          <w:szCs w:val="22"/>
        </w:rPr>
      </w:pPr>
      <w:r>
        <w:rPr>
          <w:b/>
          <w:sz w:val="22"/>
          <w:szCs w:val="22"/>
        </w:rPr>
        <w:t>Artículo 32.- Democratización de la Administración Publica.</w:t>
      </w:r>
      <w:r>
        <w:rPr>
          <w:sz w:val="22"/>
          <w:szCs w:val="22"/>
        </w:rPr>
        <w:t xml:space="preserve"> Todas las entidades y organismos de la Administración Publica tienen la obligación de desarrollar su gestión acorde con los principios de democracia participativa y democratización de la gestión pública. Para ello podrán realizar todas las acciones necesarias con el objeto de involucrar a los ciudadanos y organizaciones de la sociedad civil en la formulación, ejecución, control y evaluación de la gestión pública.</w:t>
      </w:r>
      <w:bookmarkStart w:id="11" w:name="_heading=h.3dy6vkm" w:colFirst="0" w:colLast="0"/>
      <w:bookmarkEnd w:id="11"/>
    </w:p>
    <w:p w:rsidR="00130B4C" w:rsidRDefault="00130B4C" w:rsidP="00130B4C">
      <w:pPr>
        <w:rPr>
          <w:sz w:val="22"/>
          <w:szCs w:val="22"/>
        </w:rPr>
      </w:pPr>
    </w:p>
    <w:p w:rsidR="00157BF1" w:rsidRPr="00130B4C" w:rsidRDefault="001B03EA" w:rsidP="00130B4C">
      <w:pPr>
        <w:rPr>
          <w:sz w:val="22"/>
          <w:szCs w:val="22"/>
        </w:rPr>
      </w:pPr>
      <w:r>
        <w:rPr>
          <w:b/>
          <w:color w:val="000000"/>
          <w:sz w:val="22"/>
          <w:szCs w:val="22"/>
        </w:rPr>
        <w:t xml:space="preserve">LEY ESTATUTARIA 1622 DE 2013 </w:t>
      </w:r>
      <w:r>
        <w:rPr>
          <w:b/>
          <w:i/>
          <w:color w:val="000000"/>
          <w:sz w:val="22"/>
          <w:szCs w:val="22"/>
        </w:rPr>
        <w:t>"Por medio de la cual se expide el estatuto de ciudadanía juvenil y se dictan otras disposiciones.”</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lastRenderedPageBreak/>
        <w:t xml:space="preserve">ARTÍCULO 1. Objeto. </w:t>
      </w:r>
      <w:r>
        <w:rPr>
          <w:color w:val="000000"/>
          <w:sz w:val="22"/>
          <w:szCs w:val="22"/>
        </w:rPr>
        <w:t>Establecer el marco institucional para garantizar a todos los y las jóvenes el ejercicio pleno de la ciudadanía juvenil en los ámbitos, civil o personal, social y público, el goce efectivo de los derechos reconocidos en el ordenamiento jurídico interno y lo ratificado en los Tratados Internacionales, y la adopción de las políticas públicas necesarias para su realización, protección y sostenibilidad; y para el fortalecimiento de sus capacidades y condiciones de igualdad de acceso que faciliten su participación e incidencia en la vida social, económica, cultural y democrática del país.</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t xml:space="preserve">ARTÍCULO 2. Finalidades. </w:t>
      </w:r>
      <w:r>
        <w:rPr>
          <w:color w:val="000000"/>
          <w:sz w:val="22"/>
          <w:szCs w:val="22"/>
        </w:rPr>
        <w:t>Son finalidades de la presente ley las siguientes:</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1</w:t>
      </w:r>
      <w:r>
        <w:rPr>
          <w:b/>
          <w:color w:val="000000"/>
          <w:sz w:val="22"/>
          <w:szCs w:val="22"/>
        </w:rPr>
        <w:t xml:space="preserve">. </w:t>
      </w:r>
      <w:r>
        <w:rPr>
          <w:color w:val="000000"/>
          <w:sz w:val="22"/>
          <w:szCs w:val="22"/>
        </w:rPr>
        <w:t>Garantizar el reconocimiento de las juventudes en la sociedad como sujeto de derechos y protagonistas del desarrollo de la Nación desde el ejercicio de la diferencia y la autonomía.</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2. Definir la agenda política, los lineamientos de políticas públicas e inversión social que garanticen el goce efectivo de los derechos de las juventudes en relación con la sociedad y el Estado; la articulación en todos los ámbitos de gobierno, la cualificación y armonización de la oferta y el proceso de formación política y técnica dirigida a los jóvenes, servidores públicos y sociedad en general.</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3. Garantizar la participación, concertación e incidencia de las y los jóvenes sobre decisiones que los afectan en los ámbitos social, económico, político, cultural y ambiental de la Nación.</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4. Posibilitar y propender el desarrollo de las capacidades, competencias individuales y colectivas desde el ejercicio de derechos y deberes orientados a la construcción de lo público.</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5. Promover relaciones equitativas entre generaciones, géneros y territorios, entre ámbitos como el rural y urbano, público y privado, local y nacional.</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t xml:space="preserve">ARTÍCULO 4. Principios. </w:t>
      </w:r>
      <w:r>
        <w:rPr>
          <w:color w:val="000000"/>
          <w:sz w:val="22"/>
          <w:szCs w:val="22"/>
        </w:rPr>
        <w:t>Los principios que inspiran la presente ley, se fundamentan en la Constitución Política, pero además serán principios orientadores para la interpretación y aplicación de la presente ley, los siguientes:</w:t>
      </w:r>
    </w:p>
    <w:p w:rsidR="00157BF1" w:rsidRDefault="001B03EA">
      <w:pPr>
        <w:keepNext/>
        <w:keepLines/>
        <w:pBdr>
          <w:top w:val="nil"/>
          <w:left w:val="nil"/>
          <w:bottom w:val="nil"/>
          <w:right w:val="nil"/>
          <w:between w:val="nil"/>
        </w:pBdr>
        <w:spacing w:before="360" w:after="80"/>
        <w:rPr>
          <w:color w:val="000000"/>
          <w:sz w:val="22"/>
          <w:szCs w:val="22"/>
        </w:rPr>
      </w:pPr>
      <w:r>
        <w:rPr>
          <w:color w:val="000000"/>
          <w:sz w:val="22"/>
          <w:szCs w:val="22"/>
        </w:rPr>
        <w:t>(…)</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lastRenderedPageBreak/>
        <w:t>14. Participación</w:t>
      </w:r>
      <w:r>
        <w:rPr>
          <w:color w:val="000000"/>
          <w:sz w:val="22"/>
          <w:szCs w:val="22"/>
        </w:rPr>
        <w:t>. La población joven del país tiene derecho a vincularse a los procesos de toma de decisiones que le conciernen o que afecten directa o indirectamente la obtención de condiciones de vida digna, así como a tomar parte en los diversos aspectos de la vida socioeconómica, tanto en su relación con el Estado, como con otros actores sociales.</w:t>
      </w:r>
    </w:p>
    <w:p w:rsidR="00157BF1" w:rsidRDefault="001B03EA">
      <w:pPr>
        <w:keepNext/>
        <w:keepLines/>
        <w:pBdr>
          <w:top w:val="nil"/>
          <w:left w:val="nil"/>
          <w:bottom w:val="nil"/>
          <w:right w:val="nil"/>
          <w:between w:val="nil"/>
        </w:pBdr>
        <w:spacing w:before="360" w:after="80"/>
        <w:rPr>
          <w:b/>
          <w:i/>
          <w:color w:val="000000"/>
          <w:sz w:val="22"/>
          <w:szCs w:val="22"/>
        </w:rPr>
      </w:pPr>
      <w:r>
        <w:rPr>
          <w:b/>
          <w:color w:val="000000"/>
          <w:sz w:val="22"/>
          <w:szCs w:val="22"/>
        </w:rPr>
        <w:t xml:space="preserve">Ley 1757 de 2015 </w:t>
      </w:r>
      <w:r>
        <w:rPr>
          <w:b/>
          <w:i/>
          <w:color w:val="000000"/>
          <w:sz w:val="22"/>
          <w:szCs w:val="22"/>
        </w:rPr>
        <w:t>"Por la cual se dictan disposiciones en materia de promoción y protección del derecho a la participación democrática”.</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t>Artículo 60. Control Social a lo público.</w:t>
      </w:r>
      <w:r>
        <w:rPr>
          <w:color w:val="000000"/>
          <w:sz w:val="22"/>
          <w:szCs w:val="22"/>
        </w:rPr>
        <w:t xml:space="preserve"> El control social es el derecho y el deber de los ciudadanos a participar de manera individual o a través de sus organizaciones, redes sociales e instituciones, en la vigilancia de la gestión pública y sus resultados.</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t xml:space="preserve">Ley Estatutaria 1885  de 2018 </w:t>
      </w:r>
      <w:r>
        <w:rPr>
          <w:b/>
          <w:i/>
          <w:color w:val="000000"/>
          <w:sz w:val="22"/>
          <w:szCs w:val="22"/>
        </w:rPr>
        <w:t>"Por la cual se modifica la ley estatutaria 1622 de 2013 y se dictan otras disposiciones.”</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t>ARTÍCULO 1. Objeto.</w:t>
      </w:r>
      <w:r>
        <w:rPr>
          <w:color w:val="000000"/>
          <w:sz w:val="22"/>
          <w:szCs w:val="22"/>
        </w:rPr>
        <w:t xml:space="preserve"> La presente ley tiene por objeto modificar la Ley 1622 de 2013, por medio de la cual se expide el Estatuto de Ciudadanía Juvenil, reglamentando lo concerniente al Sistema Nacional de Juventudes.</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t>ARTÍCULO 2</w:t>
      </w:r>
      <w:r>
        <w:rPr>
          <w:color w:val="000000"/>
          <w:sz w:val="22"/>
          <w:szCs w:val="22"/>
        </w:rPr>
        <w:t>. Adiciónese el numeral 8 al artículo 5 de la Ley 1622 de 2013, el cual quedará así:</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t>ARTÍCULO 5. Definiciones</w:t>
      </w:r>
      <w:r>
        <w:rPr>
          <w:color w:val="000000"/>
          <w:sz w:val="22"/>
          <w:szCs w:val="22"/>
        </w:rPr>
        <w:t>. Para efectos de la presente ley se entenderá como:</w:t>
      </w:r>
    </w:p>
    <w:p w:rsidR="00157BF1" w:rsidRDefault="001B03EA">
      <w:pPr>
        <w:pBdr>
          <w:top w:val="nil"/>
          <w:left w:val="nil"/>
          <w:bottom w:val="nil"/>
          <w:right w:val="nil"/>
          <w:between w:val="nil"/>
        </w:pBdr>
        <w:shd w:val="clear" w:color="auto" w:fill="FFFFFF"/>
        <w:jc w:val="left"/>
        <w:rPr>
          <w:color w:val="333333"/>
          <w:sz w:val="22"/>
          <w:szCs w:val="22"/>
        </w:rPr>
      </w:pPr>
      <w:r>
        <w:rPr>
          <w:b/>
          <w:color w:val="333333"/>
          <w:sz w:val="22"/>
          <w:szCs w:val="22"/>
        </w:rPr>
        <w:t>1. Joven.</w:t>
      </w:r>
      <w:r>
        <w:rPr>
          <w:color w:val="333333"/>
          <w:sz w:val="22"/>
          <w:szCs w:val="22"/>
        </w:rPr>
        <w:t xml:space="preserve"> Toda persona entre 14 y 28 años cumplidos en proceso de consolidación de su autonomía intelectual, física, moral, económica, social y cultural que hace parte de una comunidad política y en ese sentido ejerce su ciudadanía.</w:t>
      </w:r>
    </w:p>
    <w:p w:rsidR="00157BF1" w:rsidRDefault="001B03EA">
      <w:pPr>
        <w:pBdr>
          <w:top w:val="nil"/>
          <w:left w:val="nil"/>
          <w:bottom w:val="nil"/>
          <w:right w:val="nil"/>
          <w:between w:val="nil"/>
        </w:pBdr>
        <w:shd w:val="clear" w:color="auto" w:fill="FFFFFF"/>
        <w:jc w:val="left"/>
        <w:rPr>
          <w:color w:val="333333"/>
          <w:sz w:val="22"/>
          <w:szCs w:val="22"/>
        </w:rPr>
      </w:pPr>
      <w:r>
        <w:rPr>
          <w:b/>
          <w:color w:val="333333"/>
          <w:sz w:val="22"/>
          <w:szCs w:val="22"/>
        </w:rPr>
        <w:t>2. Juventudes.</w:t>
      </w:r>
      <w:r>
        <w:rPr>
          <w:color w:val="333333"/>
          <w:sz w:val="22"/>
          <w:szCs w:val="22"/>
        </w:rPr>
        <w:t xml:space="preserve"> Segmento poblacional construido socioculturalmente y que alude a unas prácticas, relaciones, estéticas y características que se construyen y son atribuidas socialmente. Esta construcción se desarrolla de manera individual y colectiva por esta población, en relación con la sociedad. Es además un momento vital donde se están consolidando las capacidades físicas, intelectuales y morales.</w:t>
      </w:r>
    </w:p>
    <w:p w:rsidR="00157BF1" w:rsidRDefault="001B03EA">
      <w:pPr>
        <w:pBdr>
          <w:top w:val="nil"/>
          <w:left w:val="nil"/>
          <w:bottom w:val="nil"/>
          <w:right w:val="nil"/>
          <w:between w:val="nil"/>
        </w:pBdr>
        <w:shd w:val="clear" w:color="auto" w:fill="FFFFFF"/>
        <w:jc w:val="left"/>
        <w:rPr>
          <w:color w:val="333333"/>
          <w:sz w:val="22"/>
          <w:szCs w:val="22"/>
        </w:rPr>
      </w:pPr>
      <w:r>
        <w:rPr>
          <w:b/>
          <w:color w:val="333333"/>
          <w:sz w:val="22"/>
          <w:szCs w:val="22"/>
        </w:rPr>
        <w:t>3. Juvenil</w:t>
      </w:r>
      <w:r>
        <w:rPr>
          <w:color w:val="333333"/>
          <w:sz w:val="22"/>
          <w:szCs w:val="22"/>
        </w:rPr>
        <w:t>. Proceso subjetivo atravesado por la condición y el estilo de vida articulados a las construcciones sociales. Las realidades y experiencias juveniles son plurales, diversas y heterogéneas, de allí que las y los jóvenes no puedan ser comprendidos como entidades aisladas, individuales y descontextualizadas, sino como una construcción cuya subjetividad está siendo transformada por las dinámicas sociales, económicas y políticas de las sociedades y a cuyas sociedades también aportan.</w:t>
      </w:r>
    </w:p>
    <w:p w:rsidR="00157BF1" w:rsidRDefault="001B03EA">
      <w:pPr>
        <w:pBdr>
          <w:top w:val="nil"/>
          <w:left w:val="nil"/>
          <w:bottom w:val="nil"/>
          <w:right w:val="nil"/>
          <w:between w:val="nil"/>
        </w:pBdr>
        <w:shd w:val="clear" w:color="auto" w:fill="FFFFFF"/>
        <w:jc w:val="left"/>
        <w:rPr>
          <w:color w:val="333333"/>
          <w:sz w:val="22"/>
          <w:szCs w:val="22"/>
        </w:rPr>
      </w:pPr>
      <w:r>
        <w:rPr>
          <w:color w:val="333333"/>
          <w:sz w:val="22"/>
          <w:szCs w:val="22"/>
        </w:rPr>
        <w:t>(…)</w:t>
      </w:r>
    </w:p>
    <w:p w:rsidR="00157BF1" w:rsidRDefault="001B03EA">
      <w:pPr>
        <w:pBdr>
          <w:top w:val="nil"/>
          <w:left w:val="nil"/>
          <w:bottom w:val="nil"/>
          <w:right w:val="nil"/>
          <w:between w:val="nil"/>
        </w:pBdr>
        <w:shd w:val="clear" w:color="auto" w:fill="FFFFFF"/>
        <w:rPr>
          <w:color w:val="333333"/>
          <w:sz w:val="22"/>
          <w:szCs w:val="22"/>
        </w:rPr>
      </w:pPr>
      <w:r>
        <w:rPr>
          <w:b/>
          <w:color w:val="333333"/>
          <w:sz w:val="22"/>
          <w:szCs w:val="22"/>
        </w:rPr>
        <w:lastRenderedPageBreak/>
        <w:t>3. Espacios de participación de las juventudes.</w:t>
      </w:r>
      <w:r>
        <w:rPr>
          <w:color w:val="333333"/>
          <w:sz w:val="22"/>
          <w:szCs w:val="22"/>
        </w:rPr>
        <w:t xml:space="preserve"> Son todas aquellas formas de concertación y acción colectiva que integran un número plural y diverso de procesos y prácticas organizativas de las y los jóvenes en un territorio, y que desarrollan acciones temáticas de articulación y trabajo colectivo con otros actores, dichos espacios deberán ser procesos convocantes, amplios y diversos, y podrán incluir jóvenes no organizados de acuerdo con sus dinámicas propias.</w:t>
      </w:r>
    </w:p>
    <w:p w:rsidR="00157BF1" w:rsidRDefault="001B03EA">
      <w:pPr>
        <w:pBdr>
          <w:top w:val="nil"/>
          <w:left w:val="nil"/>
          <w:bottom w:val="nil"/>
          <w:right w:val="nil"/>
          <w:between w:val="nil"/>
        </w:pBdr>
        <w:shd w:val="clear" w:color="auto" w:fill="FFFFFF"/>
        <w:rPr>
          <w:color w:val="333333"/>
          <w:sz w:val="22"/>
          <w:szCs w:val="22"/>
        </w:rPr>
      </w:pPr>
      <w:r>
        <w:rPr>
          <w:color w:val="333333"/>
          <w:sz w:val="22"/>
          <w:szCs w:val="22"/>
        </w:rPr>
        <w:t>Se reconocerán como espacios de participación entre otros a las redes, mesas, asambleas, cabildos, consejos de juventud, consejos comunitarios afrocolombianos, y otros espacios que surjan de las dinámicas de las y los jóvenes.</w:t>
      </w:r>
    </w:p>
    <w:p w:rsidR="00130B4C" w:rsidRDefault="00130B4C">
      <w:pPr>
        <w:pBdr>
          <w:top w:val="nil"/>
          <w:left w:val="nil"/>
          <w:bottom w:val="nil"/>
          <w:right w:val="nil"/>
          <w:between w:val="nil"/>
        </w:pBdr>
        <w:shd w:val="clear" w:color="auto" w:fill="FFFFFF"/>
        <w:rPr>
          <w:b/>
          <w:color w:val="333333"/>
          <w:sz w:val="22"/>
          <w:szCs w:val="22"/>
        </w:rPr>
      </w:pPr>
    </w:p>
    <w:p w:rsidR="00157BF1" w:rsidRDefault="001B03EA">
      <w:pPr>
        <w:pBdr>
          <w:top w:val="nil"/>
          <w:left w:val="nil"/>
          <w:bottom w:val="nil"/>
          <w:right w:val="nil"/>
          <w:between w:val="nil"/>
        </w:pBdr>
        <w:shd w:val="clear" w:color="auto" w:fill="FFFFFF"/>
        <w:rPr>
          <w:color w:val="333333"/>
          <w:sz w:val="22"/>
          <w:szCs w:val="22"/>
        </w:rPr>
      </w:pPr>
      <w:r>
        <w:rPr>
          <w:b/>
          <w:color w:val="333333"/>
          <w:sz w:val="22"/>
          <w:szCs w:val="22"/>
        </w:rPr>
        <w:t xml:space="preserve">ARTÍCULO 4. </w:t>
      </w:r>
      <w:r>
        <w:rPr>
          <w:color w:val="333333"/>
          <w:sz w:val="22"/>
          <w:szCs w:val="22"/>
        </w:rPr>
        <w:t>El artículo 41 de la Ley 1622 de 2013 quedará así:</w:t>
      </w:r>
    </w:p>
    <w:p w:rsidR="00130B4C" w:rsidRDefault="00130B4C">
      <w:pPr>
        <w:pBdr>
          <w:top w:val="nil"/>
          <w:left w:val="nil"/>
          <w:bottom w:val="nil"/>
          <w:right w:val="nil"/>
          <w:between w:val="nil"/>
        </w:pBdr>
        <w:shd w:val="clear" w:color="auto" w:fill="FFFFFF"/>
        <w:rPr>
          <w:b/>
          <w:color w:val="333333"/>
          <w:sz w:val="22"/>
          <w:szCs w:val="22"/>
        </w:rPr>
      </w:pPr>
    </w:p>
    <w:p w:rsidR="00157BF1" w:rsidRDefault="001B03EA">
      <w:pPr>
        <w:pBdr>
          <w:top w:val="nil"/>
          <w:left w:val="nil"/>
          <w:bottom w:val="nil"/>
          <w:right w:val="nil"/>
          <w:between w:val="nil"/>
        </w:pBdr>
        <w:shd w:val="clear" w:color="auto" w:fill="FFFFFF"/>
        <w:rPr>
          <w:color w:val="333333"/>
          <w:sz w:val="22"/>
          <w:szCs w:val="22"/>
        </w:rPr>
      </w:pPr>
      <w:r>
        <w:rPr>
          <w:b/>
          <w:color w:val="333333"/>
          <w:sz w:val="22"/>
          <w:szCs w:val="22"/>
        </w:rPr>
        <w:t>ARTÍCULO 41. Consejos Municipales de Juventud.</w:t>
      </w:r>
      <w:r>
        <w:rPr>
          <w:color w:val="333333"/>
          <w:sz w:val="22"/>
          <w:szCs w:val="22"/>
        </w:rPr>
        <w:t xml:space="preserve"> En cada uno de los Municipios del territorio nacional, se conformará un Consejo Municipal de Juventud, integrado por jóvenes procedentes de listas de jóvenes independientes, de procesos y prácticas organizativas de las y los jóvenes formalmente constituidos, y de juventudes de los partidos políticos elegidos mediante voto popular y directo de las y los jóvenes.</w:t>
      </w:r>
    </w:p>
    <w:p w:rsidR="00130B4C" w:rsidRDefault="00130B4C">
      <w:pPr>
        <w:pBdr>
          <w:top w:val="nil"/>
          <w:left w:val="nil"/>
          <w:bottom w:val="nil"/>
          <w:right w:val="nil"/>
          <w:between w:val="nil"/>
        </w:pBdr>
        <w:shd w:val="clear" w:color="auto" w:fill="FFFFFF"/>
        <w:rPr>
          <w:b/>
          <w:color w:val="000000"/>
          <w:sz w:val="22"/>
          <w:szCs w:val="22"/>
        </w:rPr>
      </w:pPr>
    </w:p>
    <w:p w:rsidR="00157BF1" w:rsidRDefault="001B03EA">
      <w:pPr>
        <w:pBdr>
          <w:top w:val="nil"/>
          <w:left w:val="nil"/>
          <w:bottom w:val="nil"/>
          <w:right w:val="nil"/>
          <w:between w:val="nil"/>
        </w:pBdr>
        <w:shd w:val="clear" w:color="auto" w:fill="FFFFFF"/>
        <w:rPr>
          <w:color w:val="000000"/>
          <w:sz w:val="22"/>
          <w:szCs w:val="22"/>
        </w:rPr>
      </w:pPr>
      <w:r>
        <w:rPr>
          <w:b/>
          <w:color w:val="000000"/>
          <w:sz w:val="22"/>
          <w:szCs w:val="22"/>
        </w:rPr>
        <w:t>PARÁGRAFO 1</w:t>
      </w:r>
      <w:r>
        <w:rPr>
          <w:color w:val="000000"/>
          <w:sz w:val="22"/>
          <w:szCs w:val="22"/>
        </w:rPr>
        <w:t>: En los municipios y localidades donde existan organizaciones juveniles de campesinos, comunidades de indígenas, afrocolombianos, negros, palenqueros, rom, raizales de San Andrés y Providencia o en general de comunidades étnicas, y población joven víctima, cada entidad territorial deberá elegir un representante de estas comunidades o poblaciones. En este evento, habrá un miembro más en el Consejo de Juventud por cada una de tales comunidades o poblaciones.</w:t>
      </w:r>
    </w:p>
    <w:p w:rsidR="00130B4C" w:rsidRDefault="00130B4C">
      <w:pPr>
        <w:pBdr>
          <w:top w:val="nil"/>
          <w:left w:val="nil"/>
          <w:bottom w:val="nil"/>
          <w:right w:val="nil"/>
          <w:between w:val="nil"/>
        </w:pBdr>
        <w:shd w:val="clear" w:color="auto" w:fill="FFFFFF"/>
        <w:rPr>
          <w:b/>
          <w:color w:val="000000"/>
          <w:sz w:val="22"/>
          <w:szCs w:val="22"/>
        </w:rPr>
      </w:pPr>
    </w:p>
    <w:p w:rsidR="00157BF1" w:rsidRDefault="001B03EA">
      <w:pPr>
        <w:pBdr>
          <w:top w:val="nil"/>
          <w:left w:val="nil"/>
          <w:bottom w:val="nil"/>
          <w:right w:val="nil"/>
          <w:between w:val="nil"/>
        </w:pBdr>
        <w:shd w:val="clear" w:color="auto" w:fill="FFFFFF"/>
        <w:rPr>
          <w:color w:val="000000"/>
          <w:sz w:val="22"/>
          <w:szCs w:val="22"/>
        </w:rPr>
      </w:pPr>
      <w:r>
        <w:rPr>
          <w:b/>
          <w:color w:val="000000"/>
          <w:sz w:val="22"/>
          <w:szCs w:val="22"/>
        </w:rPr>
        <w:t>PARÁGRAFO 2:</w:t>
      </w:r>
      <w:r>
        <w:rPr>
          <w:color w:val="000000"/>
          <w:sz w:val="22"/>
          <w:szCs w:val="22"/>
        </w:rPr>
        <w:t xml:space="preserve"> Los Consejos Municipales de Juventud se reunirán como mínimo una (1) vez al mes de manera ordinaria y de manera extraordinaria de acuerdo a los reglamentos internos que se construyan.</w:t>
      </w:r>
    </w:p>
    <w:p w:rsidR="00130B4C" w:rsidRDefault="00130B4C">
      <w:pPr>
        <w:pBdr>
          <w:top w:val="nil"/>
          <w:left w:val="nil"/>
          <w:bottom w:val="nil"/>
          <w:right w:val="nil"/>
          <w:between w:val="nil"/>
        </w:pBdr>
        <w:shd w:val="clear" w:color="auto" w:fill="FFFFFF"/>
        <w:rPr>
          <w:b/>
          <w:color w:val="000000"/>
          <w:sz w:val="22"/>
          <w:szCs w:val="22"/>
        </w:rPr>
      </w:pPr>
    </w:p>
    <w:p w:rsidR="00157BF1" w:rsidRDefault="001B03EA">
      <w:pPr>
        <w:pBdr>
          <w:top w:val="nil"/>
          <w:left w:val="nil"/>
          <w:bottom w:val="nil"/>
          <w:right w:val="nil"/>
          <w:between w:val="nil"/>
        </w:pBdr>
        <w:shd w:val="clear" w:color="auto" w:fill="FFFFFF"/>
        <w:rPr>
          <w:color w:val="000000"/>
          <w:sz w:val="22"/>
          <w:szCs w:val="22"/>
        </w:rPr>
      </w:pPr>
      <w:r>
        <w:rPr>
          <w:b/>
          <w:color w:val="000000"/>
          <w:sz w:val="22"/>
          <w:szCs w:val="22"/>
        </w:rPr>
        <w:t>PARÁGRAFO 3:</w:t>
      </w:r>
      <w:r>
        <w:rPr>
          <w:color w:val="000000"/>
          <w:sz w:val="22"/>
          <w:szCs w:val="22"/>
        </w:rPr>
        <w:t xml:space="preserve"> El número total de integrantes del Consejo Municipal o Local de Juventud deberá ser siempre impar, incluida la representación étnica o poblacional especial que se regula en este artículo. En el evento que de la composición ampliada resultare número par, se aumentará o disminuirá en un (1) miembro según lo establecido en el artículo 49, sin apartarse del rango mínimo o máximo allí fijado.</w:t>
      </w:r>
    </w:p>
    <w:p w:rsidR="00130B4C" w:rsidRDefault="00130B4C">
      <w:pPr>
        <w:pBdr>
          <w:top w:val="nil"/>
          <w:left w:val="nil"/>
          <w:bottom w:val="nil"/>
          <w:right w:val="nil"/>
          <w:between w:val="nil"/>
        </w:pBdr>
        <w:shd w:val="clear" w:color="auto" w:fill="FFFFFF"/>
        <w:rPr>
          <w:b/>
          <w:color w:val="000000"/>
          <w:sz w:val="22"/>
          <w:szCs w:val="22"/>
        </w:rPr>
      </w:pPr>
    </w:p>
    <w:p w:rsidR="00157BF1" w:rsidRDefault="001B03EA">
      <w:pPr>
        <w:pBdr>
          <w:top w:val="nil"/>
          <w:left w:val="nil"/>
          <w:bottom w:val="nil"/>
          <w:right w:val="nil"/>
          <w:between w:val="nil"/>
        </w:pBdr>
        <w:shd w:val="clear" w:color="auto" w:fill="FFFFFF"/>
        <w:rPr>
          <w:color w:val="000000"/>
          <w:sz w:val="22"/>
          <w:szCs w:val="22"/>
        </w:rPr>
      </w:pPr>
      <w:r>
        <w:rPr>
          <w:b/>
          <w:color w:val="000000"/>
          <w:sz w:val="22"/>
          <w:szCs w:val="22"/>
        </w:rPr>
        <w:t>PARÁGRAFO 4:</w:t>
      </w:r>
      <w:r>
        <w:rPr>
          <w:color w:val="000000"/>
          <w:sz w:val="22"/>
          <w:szCs w:val="22"/>
        </w:rPr>
        <w:t xml:space="preserve"> El o la joven que represente a los jóvenes víctimas debe cumplir con el requisito de edad establecido en la presente Ley, así como estar acreditado como víctima de conformidad con lo establecido en la Ley 1448 de 2011. Este representante será elegido únicamente por jóvenes víctimas. En todo caso, el proceso de su elección será autónomo.</w:t>
      </w:r>
    </w:p>
    <w:p w:rsidR="00130B4C" w:rsidRDefault="00130B4C">
      <w:pPr>
        <w:pBdr>
          <w:top w:val="nil"/>
          <w:left w:val="nil"/>
          <w:bottom w:val="nil"/>
          <w:right w:val="nil"/>
          <w:between w:val="nil"/>
        </w:pBdr>
        <w:shd w:val="clear" w:color="auto" w:fill="FFFFFF"/>
        <w:jc w:val="left"/>
        <w:rPr>
          <w:b/>
          <w:color w:val="333333"/>
          <w:sz w:val="22"/>
          <w:szCs w:val="22"/>
        </w:rPr>
      </w:pPr>
    </w:p>
    <w:p w:rsidR="00157BF1" w:rsidRDefault="001B03EA">
      <w:pPr>
        <w:pBdr>
          <w:top w:val="nil"/>
          <w:left w:val="nil"/>
          <w:bottom w:val="nil"/>
          <w:right w:val="nil"/>
          <w:between w:val="nil"/>
        </w:pBdr>
        <w:shd w:val="clear" w:color="auto" w:fill="FFFFFF"/>
        <w:jc w:val="left"/>
        <w:rPr>
          <w:color w:val="333333"/>
          <w:sz w:val="22"/>
          <w:szCs w:val="22"/>
        </w:rPr>
      </w:pPr>
      <w:r>
        <w:rPr>
          <w:b/>
          <w:color w:val="333333"/>
          <w:sz w:val="22"/>
          <w:szCs w:val="22"/>
        </w:rPr>
        <w:t xml:space="preserve">ARTÍCULO 5. </w:t>
      </w:r>
      <w:r>
        <w:rPr>
          <w:color w:val="333333"/>
          <w:sz w:val="22"/>
          <w:szCs w:val="22"/>
        </w:rPr>
        <w:t>El artículo 43 de la Ley 1622 de 2013 quedará así:</w:t>
      </w:r>
    </w:p>
    <w:p w:rsidR="00157BF1" w:rsidRDefault="001B03EA">
      <w:pPr>
        <w:pBdr>
          <w:top w:val="nil"/>
          <w:left w:val="nil"/>
          <w:bottom w:val="nil"/>
          <w:right w:val="nil"/>
          <w:between w:val="nil"/>
        </w:pBdr>
        <w:shd w:val="clear" w:color="auto" w:fill="FFFFFF"/>
        <w:rPr>
          <w:color w:val="333333"/>
          <w:sz w:val="22"/>
          <w:szCs w:val="22"/>
        </w:rPr>
      </w:pPr>
      <w:r>
        <w:rPr>
          <w:b/>
          <w:color w:val="333333"/>
          <w:sz w:val="22"/>
          <w:szCs w:val="22"/>
        </w:rPr>
        <w:lastRenderedPageBreak/>
        <w:t>ARTÍCULO 43.</w:t>
      </w:r>
      <w:r>
        <w:rPr>
          <w:color w:val="333333"/>
          <w:sz w:val="22"/>
          <w:szCs w:val="22"/>
        </w:rPr>
        <w:t xml:space="preserve"> Convocatoria para la elección de los Consejos Municipales, Locales y Distritales de Juventud. La Registraduría Nacional tendrá a su cargo la organización y dirección de las elecciones para conformar los Consejos Municipales y Locales de Juventud. Por tanto, destinarán todos los recursos necesarios para llevar a cabo las elecciones en sus procesos correspondientes y establecerán un proceso de inscripción acompañado de una amplia promoción, difusión y capacitación electoral a toda la población objeto de la ley teniendo en cuenta los principios constitucionales vigentes y el enfoque diferencial.</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t xml:space="preserve">De orden reglamentario </w:t>
      </w:r>
    </w:p>
    <w:p w:rsidR="00157BF1" w:rsidRDefault="00157BF1">
      <w:pPr>
        <w:pBdr>
          <w:top w:val="nil"/>
          <w:left w:val="nil"/>
          <w:bottom w:val="nil"/>
          <w:right w:val="nil"/>
          <w:between w:val="nil"/>
        </w:pBdr>
        <w:ind w:left="720"/>
        <w:rPr>
          <w:sz w:val="22"/>
          <w:szCs w:val="22"/>
        </w:rPr>
      </w:pPr>
    </w:p>
    <w:p w:rsidR="00157BF1" w:rsidRDefault="001B03EA">
      <w:pPr>
        <w:pBdr>
          <w:top w:val="nil"/>
          <w:left w:val="nil"/>
          <w:bottom w:val="nil"/>
          <w:right w:val="nil"/>
          <w:between w:val="nil"/>
        </w:pBdr>
        <w:rPr>
          <w:b/>
          <w:sz w:val="22"/>
          <w:szCs w:val="22"/>
        </w:rPr>
      </w:pPr>
      <w:r>
        <w:rPr>
          <w:b/>
          <w:sz w:val="22"/>
          <w:szCs w:val="22"/>
        </w:rPr>
        <w:t>Decreto Distrital 448 de 2007 “Por el cual se crea y estructura el Sistema Distrital de Participación Ciudadana”</w:t>
      </w:r>
    </w:p>
    <w:p w:rsidR="00157BF1" w:rsidRDefault="001B03EA">
      <w:pPr>
        <w:pBdr>
          <w:top w:val="nil"/>
          <w:left w:val="nil"/>
          <w:bottom w:val="nil"/>
          <w:right w:val="nil"/>
          <w:between w:val="nil"/>
        </w:pBdr>
        <w:shd w:val="clear" w:color="auto" w:fill="FFFFFF"/>
        <w:jc w:val="left"/>
        <w:rPr>
          <w:color w:val="333333"/>
          <w:sz w:val="22"/>
          <w:szCs w:val="22"/>
        </w:rPr>
      </w:pPr>
      <w:r>
        <w:rPr>
          <w:color w:val="333333"/>
          <w:sz w:val="22"/>
          <w:szCs w:val="22"/>
        </w:rPr>
        <w:t>(…)</w:t>
      </w:r>
    </w:p>
    <w:p w:rsidR="00157BF1" w:rsidRDefault="001B03EA">
      <w:pPr>
        <w:pBdr>
          <w:top w:val="nil"/>
          <w:left w:val="nil"/>
          <w:bottom w:val="nil"/>
          <w:right w:val="nil"/>
          <w:between w:val="nil"/>
        </w:pBdr>
        <w:rPr>
          <w:sz w:val="22"/>
          <w:szCs w:val="22"/>
        </w:rPr>
      </w:pPr>
      <w:r>
        <w:rPr>
          <w:b/>
          <w:sz w:val="22"/>
          <w:szCs w:val="22"/>
        </w:rPr>
        <w:t xml:space="preserve">Artículo 2. Definición y objetivos del sistema distrital de participación ciudadana. El </w:t>
      </w:r>
      <w:r>
        <w:rPr>
          <w:sz w:val="22"/>
          <w:szCs w:val="22"/>
        </w:rPr>
        <w:t>Sistema Distrital de Participación Ciudadana es un mecanismo de articulación entre la administración distrital, las instancias de participación, las organizaciones sociales y comunitarias y redes, asociaciones, alianzas - temporales y permanentes, con el fin de garantizar el derecho a la participación en las políticas públicas del Distrito Capital de Bogotá.</w:t>
      </w:r>
    </w:p>
    <w:p w:rsidR="00157BF1" w:rsidRDefault="001B03EA">
      <w:pPr>
        <w:pBdr>
          <w:top w:val="nil"/>
          <w:left w:val="nil"/>
          <w:bottom w:val="nil"/>
          <w:right w:val="nil"/>
          <w:between w:val="nil"/>
        </w:pBdr>
        <w:shd w:val="clear" w:color="auto" w:fill="FFFFFF"/>
        <w:jc w:val="left"/>
        <w:rPr>
          <w:color w:val="333333"/>
          <w:sz w:val="22"/>
          <w:szCs w:val="22"/>
        </w:rPr>
      </w:pPr>
      <w:r>
        <w:rPr>
          <w:color w:val="333333"/>
          <w:sz w:val="22"/>
          <w:szCs w:val="22"/>
        </w:rPr>
        <w:t>(…)</w:t>
      </w:r>
    </w:p>
    <w:p w:rsidR="00157BF1" w:rsidRDefault="001B03EA">
      <w:pPr>
        <w:pBdr>
          <w:top w:val="nil"/>
          <w:left w:val="nil"/>
          <w:bottom w:val="nil"/>
          <w:right w:val="nil"/>
          <w:between w:val="nil"/>
        </w:pBdr>
        <w:rPr>
          <w:sz w:val="22"/>
          <w:szCs w:val="22"/>
        </w:rPr>
      </w:pPr>
      <w:r>
        <w:rPr>
          <w:b/>
          <w:sz w:val="22"/>
          <w:szCs w:val="22"/>
        </w:rPr>
        <w:t>Artículo 10. autoridades de la participación</w:t>
      </w:r>
      <w:r>
        <w:rPr>
          <w:sz w:val="22"/>
          <w:szCs w:val="22"/>
        </w:rPr>
        <w:t>. Son el conjunto de servidores y servidoras públicas, entidades, dependencias e instancias de gobierno y administración públicas distrital y local, que tienen la función de formular, adoptar, ejecutar, hacer seguimiento, evaluar, promover y financiar los procesos institucionales y sociales de participación de las comunidades y las organizaciones sociales en las decisiones públicas. Son autoridades en materia de participación en el Distrito Capital:</w:t>
      </w:r>
    </w:p>
    <w:p w:rsidR="00157BF1" w:rsidRDefault="00157BF1">
      <w:pPr>
        <w:pBdr>
          <w:top w:val="nil"/>
          <w:left w:val="nil"/>
          <w:bottom w:val="nil"/>
          <w:right w:val="nil"/>
          <w:between w:val="nil"/>
        </w:pBdr>
        <w:rPr>
          <w:sz w:val="22"/>
          <w:szCs w:val="22"/>
        </w:rPr>
      </w:pPr>
    </w:p>
    <w:p w:rsidR="00157BF1" w:rsidRDefault="001B03EA">
      <w:pPr>
        <w:numPr>
          <w:ilvl w:val="0"/>
          <w:numId w:val="2"/>
        </w:numPr>
        <w:pBdr>
          <w:top w:val="nil"/>
          <w:left w:val="nil"/>
          <w:bottom w:val="nil"/>
          <w:right w:val="nil"/>
          <w:between w:val="nil"/>
        </w:pBdr>
        <w:rPr>
          <w:color w:val="000000"/>
          <w:sz w:val="22"/>
          <w:szCs w:val="22"/>
        </w:rPr>
      </w:pPr>
      <w:r>
        <w:rPr>
          <w:color w:val="000000"/>
          <w:sz w:val="22"/>
          <w:szCs w:val="22"/>
        </w:rPr>
        <w:t>El Concejo de Bogotá</w:t>
      </w:r>
    </w:p>
    <w:p w:rsidR="00157BF1" w:rsidRDefault="00157BF1">
      <w:pPr>
        <w:pBdr>
          <w:top w:val="nil"/>
          <w:left w:val="nil"/>
          <w:bottom w:val="nil"/>
          <w:right w:val="nil"/>
          <w:between w:val="nil"/>
        </w:pBdr>
        <w:rPr>
          <w:b/>
          <w:sz w:val="22"/>
          <w:szCs w:val="22"/>
        </w:rPr>
      </w:pPr>
    </w:p>
    <w:p w:rsidR="00157BF1" w:rsidRDefault="001B03EA">
      <w:pPr>
        <w:pBdr>
          <w:top w:val="nil"/>
          <w:left w:val="nil"/>
          <w:bottom w:val="nil"/>
          <w:right w:val="nil"/>
          <w:between w:val="nil"/>
        </w:pBdr>
        <w:rPr>
          <w:b/>
          <w:i/>
          <w:sz w:val="22"/>
          <w:szCs w:val="22"/>
        </w:rPr>
      </w:pPr>
      <w:r>
        <w:rPr>
          <w:b/>
          <w:sz w:val="22"/>
          <w:szCs w:val="22"/>
        </w:rPr>
        <w:t>Decreto Distrital 504 de 2011</w:t>
      </w:r>
      <w:r>
        <w:rPr>
          <w:sz w:val="22"/>
          <w:szCs w:val="22"/>
        </w:rPr>
        <w:t xml:space="preserve"> </w:t>
      </w:r>
      <w:r>
        <w:rPr>
          <w:b/>
          <w:i/>
          <w:sz w:val="22"/>
          <w:szCs w:val="22"/>
        </w:rPr>
        <w:t>“Por el cual se adopta la Política Pública de Participación Incidente para el Distrito Capital”</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sz w:val="22"/>
          <w:szCs w:val="22"/>
        </w:rPr>
        <w:t>Artículo 1. Política Pública Distrital de Participación Incidente</w:t>
      </w:r>
      <w:r>
        <w:rPr>
          <w:sz w:val="22"/>
          <w:szCs w:val="22"/>
        </w:rPr>
        <w:t>. Adóptase la Política Pública de Participación Incidente para el Distrito Capital, la cual será de obligatorio cumplimiento para los/as servidores/as públicos/as, entidades, dependencias e instancias de gobierno y de la administración pública del orden distrital y local.</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sz w:val="22"/>
          <w:szCs w:val="22"/>
        </w:rPr>
        <w:t>(...)</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bookmarkStart w:id="12" w:name="_heading=h.1t3h5sf" w:colFirst="0" w:colLast="0"/>
      <w:bookmarkEnd w:id="12"/>
      <w:r>
        <w:rPr>
          <w:b/>
          <w:sz w:val="22"/>
          <w:szCs w:val="22"/>
        </w:rPr>
        <w:lastRenderedPageBreak/>
        <w:t>Artículo 4°. Objetivo General de la Política Pública de Participación Incidente.</w:t>
      </w:r>
      <w:r>
        <w:rPr>
          <w:sz w:val="22"/>
          <w:szCs w:val="22"/>
        </w:rPr>
        <w:t xml:space="preserve"> Es Promover, concertar y fortalecer los procesos de construcción democrática de lo público, creando las condiciones que permitan reconocer y garantizar el derecho a la participación incidente de la ciudadanía y sus organizaciones en los procesos de formulación, decisión, ejecución. Seguimiento, evaluación y control social de las políticas públicas, Plan Distrital de Desarrollo, Planes Locales de Desarrollo y Plan de Ordenamiento Territorial.</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color w:val="000000"/>
          <w:sz w:val="22"/>
          <w:szCs w:val="22"/>
        </w:rPr>
        <w:t>Decreto Distrital 477 de 2023. “</w:t>
      </w:r>
      <w:r>
        <w:rPr>
          <w:b/>
          <w:i/>
          <w:color w:val="000000"/>
          <w:sz w:val="22"/>
          <w:szCs w:val="22"/>
        </w:rPr>
        <w:t>Por medio del cual se adopta la Política Pública de Participación Incidente del Distrito Capital 2023 - 2034 y se dictan otras disposiciones”</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color w:val="000000"/>
          <w:sz w:val="22"/>
          <w:szCs w:val="22"/>
        </w:rPr>
        <w:t xml:space="preserve">Artículo 1.- Adopción. </w:t>
      </w:r>
      <w:r>
        <w:rPr>
          <w:color w:val="000000"/>
          <w:sz w:val="22"/>
          <w:szCs w:val="22"/>
        </w:rPr>
        <w:t>Adóptese la Política Pública de Participación Incidente del Distrito Capital 2023 - 2034, con el fin de fortalecer el ejercicio del derecho de participación ciudadana en Bogotá en procura de alcanzar incidencia en los asuntos públicos a través del mejoramiento de las condiciones de gobernanza, estructura institucional y las competencias ciudadanas.</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color w:val="000000"/>
          <w:sz w:val="22"/>
          <w:szCs w:val="22"/>
        </w:rPr>
        <w:t>(...)</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color w:val="000000"/>
          <w:sz w:val="22"/>
          <w:szCs w:val="22"/>
        </w:rPr>
        <w:t>Artículo 6°.- Alcance de la Participación. El alcance de la participación ciudadana se comprende a partir de seis niveles progresivos:</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color w:val="000000"/>
          <w:sz w:val="22"/>
          <w:szCs w:val="22"/>
        </w:rPr>
        <w:t xml:space="preserve">1. Informar. </w:t>
      </w:r>
      <w:r>
        <w:rPr>
          <w:color w:val="000000"/>
          <w:sz w:val="22"/>
          <w:szCs w:val="22"/>
        </w:rPr>
        <w:t>La Administración pública socializa la información sobre un proyecto o proceso de interés público.</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sz w:val="22"/>
          <w:szCs w:val="22"/>
        </w:rPr>
      </w:pPr>
      <w:r>
        <w:rPr>
          <w:b/>
          <w:color w:val="000000"/>
          <w:sz w:val="22"/>
          <w:szCs w:val="22"/>
        </w:rPr>
        <w:t xml:space="preserve">2. Consultar. </w:t>
      </w:r>
      <w:r>
        <w:rPr>
          <w:color w:val="000000"/>
          <w:sz w:val="22"/>
          <w:szCs w:val="22"/>
        </w:rPr>
        <w:t>La Administración pública presenta a consideración de los actores una iniciativa o decisión, se emite un concepto u opinión, pero este no es necesariamente vinculante.</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color w:val="000000"/>
          <w:sz w:val="22"/>
          <w:szCs w:val="22"/>
        </w:rPr>
      </w:pPr>
      <w:r>
        <w:rPr>
          <w:b/>
          <w:color w:val="000000"/>
          <w:sz w:val="22"/>
          <w:szCs w:val="22"/>
        </w:rPr>
        <w:t xml:space="preserve">3. Cocrear. </w:t>
      </w:r>
      <w:r>
        <w:rPr>
          <w:color w:val="000000"/>
          <w:sz w:val="22"/>
          <w:szCs w:val="22"/>
        </w:rPr>
        <w:t>Es la forma colectiva de innovación colaborativa en el que se involucra a la ciudadanía para establecer objetivos, métodos, estrategias o resultados de una política, programa o proyecto en torno a la gestión pública.</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lastRenderedPageBreak/>
        <w:t xml:space="preserve">4.Controlar. </w:t>
      </w:r>
      <w:r>
        <w:rPr>
          <w:color w:val="000000"/>
          <w:sz w:val="22"/>
          <w:szCs w:val="22"/>
        </w:rPr>
        <w:t>Las personas realizan control social y seguimiento a la gestión pública en lógica de petición y rendición de cuentas, que puede incluir recomendaciones sobre la ejecución de planes, programas y proyectos de la Administración Pública, no necesariamente vinculantes. En todo caso se genera la correlativa obligación de emitir respuesta.</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t xml:space="preserve">5. Co-ejecutar. </w:t>
      </w:r>
      <w:r>
        <w:rPr>
          <w:color w:val="000000"/>
          <w:sz w:val="22"/>
          <w:szCs w:val="22"/>
        </w:rPr>
        <w:t>Permite la participación de las personas en lo público mediante su vinculación en la ejecución de planes, programas, proyectos e iniciativas.</w:t>
      </w:r>
    </w:p>
    <w:p w:rsidR="00157BF1" w:rsidRDefault="001B03EA">
      <w:pPr>
        <w:keepNext/>
        <w:keepLines/>
        <w:pBdr>
          <w:top w:val="nil"/>
          <w:left w:val="nil"/>
          <w:bottom w:val="nil"/>
          <w:right w:val="nil"/>
          <w:between w:val="nil"/>
        </w:pBdr>
        <w:spacing w:before="360" w:after="80"/>
        <w:rPr>
          <w:color w:val="000000"/>
          <w:sz w:val="22"/>
          <w:szCs w:val="22"/>
        </w:rPr>
      </w:pPr>
      <w:r>
        <w:rPr>
          <w:b/>
          <w:color w:val="000000"/>
          <w:sz w:val="22"/>
          <w:szCs w:val="22"/>
        </w:rPr>
        <w:t xml:space="preserve">6. Decidir. </w:t>
      </w:r>
      <w:r>
        <w:rPr>
          <w:color w:val="000000"/>
          <w:sz w:val="22"/>
          <w:szCs w:val="22"/>
        </w:rPr>
        <w:t>Se expresa en la posibilidad de generar un ejercicio deliberativo entre los habitantes y las instituciones del Estado sobre asuntos de interés. Propende porque las decisiones y acciones de las instituciones del Estado reflejen las preferencias, iniciativas y consideraciones de la población en los términos derivados del diálogo y las decisiones democráticas, estas son de obligatorio cumplimiento.</w:t>
      </w:r>
    </w:p>
    <w:p w:rsidR="00157BF1" w:rsidRDefault="001B03EA">
      <w:pPr>
        <w:keepNext/>
        <w:keepLines/>
        <w:pBdr>
          <w:top w:val="nil"/>
          <w:left w:val="nil"/>
          <w:bottom w:val="nil"/>
          <w:right w:val="nil"/>
          <w:between w:val="nil"/>
        </w:pBdr>
        <w:spacing w:before="360" w:after="80"/>
        <w:rPr>
          <w:b/>
          <w:color w:val="000000"/>
          <w:sz w:val="22"/>
          <w:szCs w:val="22"/>
        </w:rPr>
      </w:pPr>
      <w:r>
        <w:rPr>
          <w:b/>
          <w:color w:val="000000"/>
          <w:sz w:val="22"/>
          <w:szCs w:val="22"/>
        </w:rPr>
        <w:t>De orden jurisprudencial</w:t>
      </w:r>
    </w:p>
    <w:p w:rsidR="00157BF1" w:rsidRDefault="00157BF1">
      <w:pPr>
        <w:pBdr>
          <w:top w:val="nil"/>
          <w:left w:val="nil"/>
          <w:bottom w:val="nil"/>
          <w:right w:val="nil"/>
          <w:between w:val="nil"/>
        </w:pBdr>
        <w:rPr>
          <w:sz w:val="22"/>
          <w:szCs w:val="22"/>
        </w:rPr>
      </w:pPr>
    </w:p>
    <w:p w:rsidR="00157BF1" w:rsidRDefault="001B03EA">
      <w:pPr>
        <w:pBdr>
          <w:top w:val="nil"/>
          <w:left w:val="nil"/>
          <w:bottom w:val="nil"/>
          <w:right w:val="nil"/>
          <w:between w:val="nil"/>
        </w:pBdr>
        <w:rPr>
          <w:b/>
          <w:sz w:val="22"/>
          <w:szCs w:val="22"/>
        </w:rPr>
      </w:pPr>
      <w:r>
        <w:rPr>
          <w:b/>
          <w:color w:val="000000"/>
          <w:sz w:val="22"/>
          <w:szCs w:val="22"/>
        </w:rPr>
        <w:t xml:space="preserve">Corte Constitucional de Colombia </w:t>
      </w:r>
      <w:r>
        <w:rPr>
          <w:b/>
          <w:sz w:val="22"/>
          <w:szCs w:val="22"/>
        </w:rPr>
        <w:t>Sentencia C-484 de 2017 del 26 de julio de 2017;Magistardo Ponente Iván Humberto Escrucería Mayolo.</w:t>
      </w:r>
    </w:p>
    <w:p w:rsidR="00157BF1" w:rsidRDefault="00157BF1">
      <w:pPr>
        <w:pBdr>
          <w:top w:val="nil"/>
          <w:left w:val="nil"/>
          <w:bottom w:val="nil"/>
          <w:right w:val="nil"/>
          <w:between w:val="nil"/>
        </w:pBdr>
        <w:rPr>
          <w:i/>
          <w:sz w:val="22"/>
          <w:szCs w:val="22"/>
        </w:rPr>
      </w:pPr>
    </w:p>
    <w:p w:rsidR="00157BF1" w:rsidRDefault="001B03EA">
      <w:r>
        <w:t xml:space="preserve">En ese entonces la corte evaluando la constitucionalidad de la ley 1885 de 2018 </w:t>
      </w:r>
      <w:r>
        <w:rPr>
          <w:i/>
        </w:rPr>
        <w:t>"Por la cual se modifica la Ley estatutaria 1622 de 2013 (Estatuto de ciudadanía juvenil) y se dictan otras disposiciones</w:t>
      </w:r>
      <w:r>
        <w:t>”. Indico que según el artículo 45 de la constitución política es deber del estado garantizar la participación activa de los jóvenes.</w:t>
      </w:r>
    </w:p>
    <w:p w:rsidR="00157BF1" w:rsidRDefault="00157BF1"/>
    <w:p w:rsidR="00157BF1" w:rsidRDefault="001B03EA">
      <w:pPr>
        <w:rPr>
          <w:i/>
        </w:rPr>
      </w:pPr>
      <w:r>
        <w:rPr>
          <w:i/>
        </w:rPr>
        <w:t xml:space="preserve">“Por otro lado, se debe tener en cuenta el </w:t>
      </w:r>
      <w:r>
        <w:rPr>
          <w:b/>
          <w:i/>
        </w:rPr>
        <w:t>artículo 45 superior</w:t>
      </w:r>
      <w:r>
        <w:rPr>
          <w:i/>
        </w:rPr>
        <w:t>, que dispone que el adolescente tiene derecho a la protección y formación integral, además de señalar que “</w:t>
      </w:r>
      <w:r>
        <w:rPr>
          <w:b/>
          <w:i/>
          <w:u w:val="single"/>
        </w:rPr>
        <w:t>el Estado y la sociedad garantizan la participación activa de los jóvenes en los organismos públicos y privados que tengan a cargo la protección, educación y progreso de la juventud</w:t>
      </w:r>
      <w:r>
        <w:rPr>
          <w:i/>
        </w:rPr>
        <w:t>”. Este artículo fue aprobado en la Comisión Quinta de la Asamblea Nacional Constituyente, en donde se estableció que el número de jóvenes tiene el derecho a la protección y formación física, psicológica, intelectual, social</w:t>
      </w:r>
      <w:r>
        <w:rPr>
          <w:b/>
          <w:i/>
        </w:rPr>
        <w:t xml:space="preserve">, </w:t>
      </w:r>
      <w:r>
        <w:rPr>
          <w:b/>
          <w:i/>
          <w:u w:val="single"/>
        </w:rPr>
        <w:t>correspondiendo al Estado garantizar la participación activa</w:t>
      </w:r>
      <w:r>
        <w:rPr>
          <w:i/>
        </w:rPr>
        <w:t xml:space="preserve"> en la vida cultural, deportiva, social, política, laboral y económica, dado que resulta de suma importancia que los jóvenes participen en las decisiones que les atañen y en los organismos que comprometa sus necesidades.”</w:t>
      </w:r>
    </w:p>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13" w:name="_heading=h.2s8eyo1" w:colFirst="0" w:colLast="0"/>
      <w:bookmarkEnd w:id="13"/>
      <w:r>
        <w:rPr>
          <w:b/>
          <w:color w:val="000000"/>
          <w:sz w:val="22"/>
          <w:szCs w:val="22"/>
        </w:rPr>
        <w:lastRenderedPageBreak/>
        <w:t>COMPETENCIA DEL CONCEJO DE BOGOTÁ</w:t>
      </w:r>
    </w:p>
    <w:p w:rsidR="00157BF1" w:rsidRDefault="00157BF1">
      <w:pPr>
        <w:rPr>
          <w:sz w:val="22"/>
          <w:szCs w:val="22"/>
        </w:rPr>
      </w:pPr>
    </w:p>
    <w:p w:rsidR="00157BF1" w:rsidRDefault="001B03EA">
      <w:pPr>
        <w:rPr>
          <w:sz w:val="22"/>
          <w:szCs w:val="22"/>
        </w:rPr>
      </w:pPr>
      <w:r>
        <w:rPr>
          <w:sz w:val="22"/>
          <w:szCs w:val="22"/>
        </w:rPr>
        <w:t>Los autores a tenor literal de lo expuesto en el cuerpo de la exposición de motivos, fundamentan la competencia del Concejo de Bogotá en el numeral 1 del artículo 12 del Decreto – Ley 1421 de 1993. A continuación, transcriba dichos artículos, usando el mismo formato arriba descrito (</w:t>
      </w:r>
    </w:p>
    <w:p w:rsidR="00157BF1" w:rsidRDefault="00157BF1">
      <w:pPr>
        <w:rPr>
          <w:sz w:val="22"/>
          <w:szCs w:val="22"/>
        </w:rPr>
      </w:pPr>
    </w:p>
    <w:p w:rsidR="00157BF1" w:rsidRDefault="001B03EA">
      <w:pPr>
        <w:spacing w:line="276" w:lineRule="auto"/>
        <w:ind w:left="850"/>
        <w:rPr>
          <w:i/>
          <w:sz w:val="22"/>
          <w:szCs w:val="22"/>
        </w:rPr>
      </w:pPr>
      <w:r>
        <w:rPr>
          <w:b/>
          <w:i/>
          <w:sz w:val="22"/>
          <w:szCs w:val="22"/>
        </w:rPr>
        <w:t xml:space="preserve">Artículo 12. Atribuciones. </w:t>
      </w:r>
      <w:r>
        <w:rPr>
          <w:i/>
          <w:sz w:val="22"/>
          <w:szCs w:val="22"/>
        </w:rPr>
        <w:t>Corresponde al Concejo Distrital, de conformidad con la Constitución y a la ley:</w:t>
      </w:r>
    </w:p>
    <w:p w:rsidR="00157BF1" w:rsidRDefault="00157BF1">
      <w:pPr>
        <w:spacing w:line="276" w:lineRule="auto"/>
        <w:rPr>
          <w:i/>
          <w:sz w:val="22"/>
          <w:szCs w:val="22"/>
        </w:rPr>
      </w:pPr>
    </w:p>
    <w:p w:rsidR="00157BF1" w:rsidRDefault="001B03EA">
      <w:pPr>
        <w:spacing w:line="276" w:lineRule="auto"/>
        <w:ind w:left="850"/>
        <w:rPr>
          <w:i/>
          <w:sz w:val="22"/>
          <w:szCs w:val="22"/>
        </w:rPr>
      </w:pPr>
      <w:r>
        <w:rPr>
          <w:i/>
          <w:sz w:val="22"/>
          <w:szCs w:val="22"/>
        </w:rPr>
        <w:t>1. Dictar las normas necesarias para garantizar el adecuado cumplimiento de las funciones y la eficiente prestación de los servicios a cargo del Distrito.</w:t>
      </w:r>
    </w:p>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14" w:name="_heading=h.17dp8vu" w:colFirst="0" w:colLast="0"/>
      <w:bookmarkEnd w:id="14"/>
      <w:r>
        <w:rPr>
          <w:b/>
          <w:color w:val="000000"/>
          <w:sz w:val="22"/>
          <w:szCs w:val="22"/>
        </w:rPr>
        <w:t>IMPACTO FISCAL</w:t>
      </w:r>
    </w:p>
    <w:p w:rsidR="00157BF1" w:rsidRDefault="00157BF1">
      <w:pPr>
        <w:spacing w:line="276" w:lineRule="auto"/>
        <w:rPr>
          <w:sz w:val="22"/>
          <w:szCs w:val="22"/>
        </w:rPr>
      </w:pPr>
    </w:p>
    <w:p w:rsidR="00157BF1" w:rsidRDefault="001B03EA">
      <w:pPr>
        <w:spacing w:line="276" w:lineRule="auto"/>
        <w:rPr>
          <w:sz w:val="22"/>
          <w:szCs w:val="22"/>
        </w:rPr>
      </w:pPr>
      <w:r>
        <w:rPr>
          <w:sz w:val="22"/>
          <w:szCs w:val="22"/>
        </w:rPr>
        <w:t xml:space="preserve">Los autores del proyecto afirman que esta iniciativa normativa </w:t>
      </w:r>
      <w:r>
        <w:rPr>
          <w:b/>
          <w:sz w:val="22"/>
          <w:szCs w:val="22"/>
        </w:rPr>
        <w:t>NO</w:t>
      </w:r>
      <w:r>
        <w:rPr>
          <w:sz w:val="22"/>
          <w:szCs w:val="22"/>
        </w:rPr>
        <w:t xml:space="preserve"> genera gasto o impacto fiscal en el presupuesto del Distrito, ni implica la apropiación de recursos adicionales a los sectores y entidades responsables de su implementación toda vez que no se incrementará el presupuesto del Distrito, ni ocasionará la creación de una nueva fuente de financiación. El alcance del proyecto es fortalecer o ampliar incentivos para los Consejeros y Consejeras Distritales y Locales de juventud.</w:t>
      </w:r>
    </w:p>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15" w:name="_heading=h.3rdcrjn" w:colFirst="0" w:colLast="0"/>
      <w:bookmarkEnd w:id="15"/>
      <w:r>
        <w:rPr>
          <w:b/>
          <w:color w:val="000000"/>
          <w:sz w:val="22"/>
          <w:szCs w:val="22"/>
        </w:rPr>
        <w:t>COMENTARIOS Y OBSERVACIONES DEL PONENTE</w:t>
      </w:r>
    </w:p>
    <w:p w:rsidR="00157BF1" w:rsidRDefault="00157BF1">
      <w:pPr>
        <w:rPr>
          <w:sz w:val="22"/>
          <w:szCs w:val="22"/>
        </w:rPr>
      </w:pPr>
    </w:p>
    <w:p w:rsidR="00157BF1" w:rsidRDefault="001B03EA">
      <w:pPr>
        <w:rPr>
          <w:rFonts w:ascii="Times New Roman" w:eastAsia="Times New Roman" w:hAnsi="Times New Roman" w:cs="Times New Roman"/>
        </w:rPr>
      </w:pPr>
      <w:r>
        <w:rPr>
          <w:color w:val="000000"/>
          <w:sz w:val="22"/>
          <w:szCs w:val="22"/>
        </w:rPr>
        <w:t>Fomentar con incentivos la participación de más candidatos en las elecciones de los Consejos Locales de Juventud es fundamental para fortalecer la democracia desde las bases. Una mayor diversidad de candidatos permite que diferentes voces, realidades y territorios estén representados, lo que enriquece el debate y la toma de decisiones en beneficio de la juventud. Además, incentivos como formación política, apoyo logístico, visibilidad en medios o reconocimiento institucional pueden motivar a más jóvenes líderes a postularse, especialmente en zonas donde hay poco acceso o interés. Promover esta participación no solo fortalece los procesos democráticos locales, sino que siembra liderazgo juvenil con visión de futuro.</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b/>
          <w:color w:val="000000"/>
          <w:sz w:val="22"/>
          <w:szCs w:val="22"/>
        </w:rPr>
        <w:t>La participación de los jóvenes a nivel Nacional y Distrital.</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000000"/>
          <w:sz w:val="22"/>
          <w:szCs w:val="22"/>
        </w:rPr>
        <w:lastRenderedPageBreak/>
        <w:t>En 2021 se realizaron las últimas elecciones a concejos locales, municipales y Distritales de Juventud. De acuerdo con la Registraduría Nacional, tan solo 1.279.961 de jóvenes de un total de 12.282.273 habilitados para votar asistieron a las urnas para usar su derecho al voto popular. (Registraduría Nacional del Estado Civil, 2021)</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000000"/>
          <w:sz w:val="22"/>
          <w:szCs w:val="22"/>
        </w:rPr>
        <w:t>Tan solo el 10 % de los jóvenes habilitados para votar, participaron en las elecciones de 2021, lo que reflejó una abstención del 90 %, dando un panorama preocupante para el futuro de la democracia nacional. La baja participación refleja una preocupante desconexión entre los jóvenes y los procesos democráticos del país. (Registraduría Nacional del Estado Civil, 2021)</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000000"/>
          <w:sz w:val="22"/>
          <w:szCs w:val="22"/>
        </w:rPr>
        <w:t>En esa misma línea, en 2021 se postularon más de 45.000 candidatos y candidatas a nivel nacional. Esto demuestra el bajo interés de los jóvenes de postularse e involucrarse en estos espacios de participación, puesto que únicamente solo el 0,35 % de los 12 millones de jóvenes habilitados para participar fueron candidatos  a los consejos locales, municipales y Distritales del país. (Bogotá Como Vamos 2021)</w:t>
      </w:r>
    </w:p>
    <w:p w:rsidR="00157BF1" w:rsidRDefault="00157BF1">
      <w:pPr>
        <w:spacing w:after="240"/>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000000"/>
          <w:sz w:val="22"/>
          <w:szCs w:val="22"/>
        </w:rPr>
        <w:t>La situación a nivel distrital no es diferente, 1.771 fueron candidatos en Bogotá en 2021, cuando en Bogotá se contaba con 1.993.098 jóvenes entre 14  y 28 años,  según las estadísticas que arroja el DANE, lo que representa que en Bogotá tan solo 0.09% de la población joven en Bogotá fueron candidatos  a los consejos de cada una de las 20 localidades  en las que se divide el territorio de la ciudad. (Bogotá cómo vamos 2021, DANE 2021)</w:t>
      </w:r>
    </w:p>
    <w:p w:rsidR="00157BF1" w:rsidRDefault="001B03EA">
      <w:pPr>
        <w:rPr>
          <w:sz w:val="22"/>
          <w:szCs w:val="22"/>
        </w:rPr>
      </w:pPr>
      <w:r>
        <w:rPr>
          <w:noProof/>
          <w:lang w:val="es-CO"/>
        </w:rPr>
        <w:drawing>
          <wp:inline distT="0" distB="0" distL="0" distR="0">
            <wp:extent cx="5613400" cy="2060103"/>
            <wp:effectExtent l="0" t="0" r="0" b="0"/>
            <wp:docPr id="51" name="image7.png" descr="https://lh7-rt.googleusercontent.com/docsz/AD_4nXe16FPENeh21RsyvwM5_UA-rTspgTFX1bq_6SX2BkRWVBJrHPnGG94b83xi-ydv8bxwUIlzFmXsX4GTMIpkfPh9ekFYbQmg3P2J5jWziFXjXIhntFaM0I84Vd7EUGjN2EeDOnPETmAQOwx9C-RVLA?key=Vjq3KhSyo9mGEaF3rs8PXg"/>
            <wp:cNvGraphicFramePr/>
            <a:graphic xmlns:a="http://schemas.openxmlformats.org/drawingml/2006/main">
              <a:graphicData uri="http://schemas.openxmlformats.org/drawingml/2006/picture">
                <pic:pic xmlns:pic="http://schemas.openxmlformats.org/drawingml/2006/picture">
                  <pic:nvPicPr>
                    <pic:cNvPr id="0" name="image7.png" descr="https://lh7-rt.googleusercontent.com/docsz/AD_4nXe16FPENeh21RsyvwM5_UA-rTspgTFX1bq_6SX2BkRWVBJrHPnGG94b83xi-ydv8bxwUIlzFmXsX4GTMIpkfPh9ekFYbQmg3P2J5jWziFXjXIhntFaM0I84Vd7EUGjN2EeDOnPETmAQOwx9C-RVLA?key=Vjq3KhSyo9mGEaF3rs8PXg"/>
                    <pic:cNvPicPr preferRelativeResize="0"/>
                  </pic:nvPicPr>
                  <pic:blipFill>
                    <a:blip r:embed="rId15"/>
                    <a:srcRect/>
                    <a:stretch>
                      <a:fillRect/>
                    </a:stretch>
                  </pic:blipFill>
                  <pic:spPr>
                    <a:xfrm>
                      <a:off x="0" y="0"/>
                      <a:ext cx="5613400" cy="2060103"/>
                    </a:xfrm>
                    <a:prstGeom prst="rect">
                      <a:avLst/>
                    </a:prstGeom>
                    <a:ln/>
                  </pic:spPr>
                </pic:pic>
              </a:graphicData>
            </a:graphic>
          </wp:inline>
        </w:drawing>
      </w:r>
    </w:p>
    <w:p w:rsidR="00157BF1" w:rsidRDefault="001B03EA">
      <w:pPr>
        <w:jc w:val="center"/>
        <w:rPr>
          <w:rFonts w:ascii="Times New Roman" w:eastAsia="Times New Roman" w:hAnsi="Times New Roman" w:cs="Times New Roman"/>
        </w:rPr>
      </w:pPr>
      <w:r>
        <w:rPr>
          <w:color w:val="000000"/>
          <w:sz w:val="16"/>
          <w:szCs w:val="16"/>
        </w:rPr>
        <w:t>(sacado de proyecciones de población desagregadas por localidades 2018-2035 y UPZ 2018-2024)</w:t>
      </w:r>
    </w:p>
    <w:p w:rsidR="00157BF1" w:rsidRDefault="00157BF1">
      <w:pPr>
        <w:rPr>
          <w:sz w:val="22"/>
          <w:szCs w:val="22"/>
        </w:rPr>
      </w:pPr>
    </w:p>
    <w:p w:rsidR="00157BF1" w:rsidRDefault="001B03EA">
      <w:pPr>
        <w:rPr>
          <w:rFonts w:ascii="Times New Roman" w:eastAsia="Times New Roman" w:hAnsi="Times New Roman" w:cs="Times New Roman"/>
        </w:rPr>
      </w:pPr>
      <w:r>
        <w:rPr>
          <w:color w:val="000000"/>
          <w:sz w:val="22"/>
          <w:szCs w:val="22"/>
        </w:rPr>
        <w:t xml:space="preserve">Por estos motivos, es necesario incentivar la participación de los jóvenes entre 14 y 28 años, con el fin de que se involucren en las políticas, programas y proyectos de ciudad, </w:t>
      </w:r>
      <w:r>
        <w:rPr>
          <w:color w:val="000000"/>
          <w:sz w:val="22"/>
          <w:szCs w:val="22"/>
        </w:rPr>
        <w:lastRenderedPageBreak/>
        <w:t>pues sus puntos de vista deben ser tenidos en cuenta para la toma de decisiones por parte de esta administración distrital y las futuras.</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b/>
          <w:color w:val="000000"/>
          <w:sz w:val="22"/>
          <w:szCs w:val="22"/>
        </w:rPr>
        <w:t>Obligación del estado de fomentar la participación ciudadana.</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000000"/>
          <w:sz w:val="22"/>
          <w:szCs w:val="22"/>
        </w:rPr>
        <w:t>La ley 1622 de 2013, el cual expidió el estatuto de ciudadanía juvenil, establece que se debe reconocer a las juventudes como sujeto de derechos y protagonistas del desarrollo de la Nación desde el ejercicio de la diferencia y la autonomía, siendo un acto clave para las transformaciones sociales y las perspectivas que tienen sobre su entorno social.</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000000"/>
          <w:sz w:val="22"/>
          <w:szCs w:val="22"/>
        </w:rPr>
        <w:t>Así como garantizar la participación</w:t>
      </w:r>
      <w:r>
        <w:rPr>
          <w:color w:val="333333"/>
          <w:sz w:val="22"/>
          <w:szCs w:val="22"/>
          <w:highlight w:val="white"/>
        </w:rPr>
        <w:t>, concertación e incidencia de las y los jóvenes sobre decisiones que los afectan en los ámbitos social, económico, político, cultural y ambiental de la Nación, teniendo el estado un papel fundamental para generar acciones y mecanismos con el fin de garantizar los derechos como el de participación.</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333333"/>
          <w:sz w:val="22"/>
          <w:szCs w:val="22"/>
          <w:highlight w:val="white"/>
        </w:rPr>
        <w:t>Esto de acuerdo con el artículo 103 de la Constitución Política de Colombia, al contribuir a la organización, promoción y capacitación de las asociaciones juveniles, tal como lo pretende el presente proyecto de acuerdo.</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333333"/>
          <w:sz w:val="22"/>
          <w:szCs w:val="22"/>
          <w:highlight w:val="white"/>
        </w:rPr>
        <w:t>De ahí la importancia del principio número 7 y 11 que fijo el artículo 4 del estatuto de ciudadanía juvenil, en cuanto a que los recursos de los programas y actuaciones dirigidos a los Jóvenes deben ser suficientes para alcanzar los objetivos provistos, con el fin de que se oriente a esta población a la innovación permanente, el aprendizaje social, la experimentación y la concertación.</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333333"/>
          <w:sz w:val="22"/>
          <w:szCs w:val="22"/>
          <w:highlight w:val="white"/>
        </w:rPr>
        <w:t>Es por estos motivos que el estado, con apoyo de la sociedad civil, está obligado de manera progresiva y gradual a adoptar e implementar medidas, acciones y mecanismos para garantizar y fomentar la participación de este tipo de poblaciones.</w:t>
      </w:r>
    </w:p>
    <w:p w:rsidR="00157BF1" w:rsidRDefault="00157BF1">
      <w:pPr>
        <w:jc w:val="left"/>
        <w:rPr>
          <w:rFonts w:ascii="Times New Roman" w:eastAsia="Times New Roman" w:hAnsi="Times New Roman" w:cs="Times New Roman"/>
        </w:rPr>
      </w:pPr>
    </w:p>
    <w:p w:rsidR="00157BF1" w:rsidRDefault="001B03EA">
      <w:pPr>
        <w:rPr>
          <w:rFonts w:ascii="Times New Roman" w:eastAsia="Times New Roman" w:hAnsi="Times New Roman" w:cs="Times New Roman"/>
        </w:rPr>
      </w:pPr>
      <w:r>
        <w:rPr>
          <w:color w:val="333333"/>
          <w:sz w:val="22"/>
          <w:szCs w:val="22"/>
          <w:highlight w:val="white"/>
        </w:rPr>
        <w:t>Viéndose reflejados en los estímulos y medidas de promoción que implemento el estatuto juvenil en el artículo 8 de las que recalco:</w:t>
      </w:r>
    </w:p>
    <w:p w:rsidR="00157BF1" w:rsidRDefault="001B03EA">
      <w:pPr>
        <w:jc w:val="left"/>
        <w:rPr>
          <w:rFonts w:ascii="Times New Roman" w:eastAsia="Times New Roman" w:hAnsi="Times New Roman" w:cs="Times New Roman"/>
        </w:rPr>
      </w:pPr>
      <w:r>
        <w:rPr>
          <w:rFonts w:ascii="Times New Roman" w:eastAsia="Times New Roman" w:hAnsi="Times New Roman" w:cs="Times New Roman"/>
        </w:rPr>
        <w:br/>
      </w:r>
    </w:p>
    <w:p w:rsidR="00157BF1" w:rsidRDefault="001B03EA">
      <w:pPr>
        <w:numPr>
          <w:ilvl w:val="0"/>
          <w:numId w:val="4"/>
        </w:numPr>
        <w:rPr>
          <w:i/>
          <w:color w:val="000000"/>
        </w:rPr>
      </w:pPr>
      <w:r>
        <w:rPr>
          <w:b/>
          <w:i/>
          <w:color w:val="000000"/>
          <w:u w:val="single"/>
        </w:rPr>
        <w:t>Establecer mecanismos para favorecer un empleo</w:t>
      </w:r>
      <w:r>
        <w:rPr>
          <w:i/>
          <w:color w:val="000000"/>
        </w:rPr>
        <w:t xml:space="preserve"> y unas condiciones de trabajo de calidad, y potenciar mecanismos de orientación e inserción laborales.(</w:t>
      </w:r>
      <w:r>
        <w:rPr>
          <w:color w:val="000000"/>
        </w:rPr>
        <w:t>negrillas y subrayado propio</w:t>
      </w:r>
      <w:r>
        <w:rPr>
          <w:i/>
          <w:color w:val="000000"/>
        </w:rPr>
        <w:t>)</w:t>
      </w:r>
    </w:p>
    <w:p w:rsidR="00157BF1" w:rsidRDefault="001B03EA">
      <w:pPr>
        <w:numPr>
          <w:ilvl w:val="0"/>
          <w:numId w:val="4"/>
        </w:numPr>
        <w:rPr>
          <w:i/>
          <w:color w:val="000000"/>
        </w:rPr>
      </w:pPr>
      <w:r>
        <w:rPr>
          <w:b/>
          <w:i/>
          <w:color w:val="000000"/>
          <w:u w:val="single"/>
        </w:rPr>
        <w:t>Diseñar e implementar programas de fomento al emprendimiento</w:t>
      </w:r>
      <w:r>
        <w:rPr>
          <w:i/>
          <w:color w:val="000000"/>
        </w:rPr>
        <w:t xml:space="preserve"> para la creación de empresas en diversos sectores por parte de las y los jóvenes, facilitando el acceso a crédito, capital de riesgo y capital semilla. Y con </w:t>
      </w:r>
      <w:r>
        <w:rPr>
          <w:i/>
          <w:color w:val="000000"/>
        </w:rPr>
        <w:lastRenderedPageBreak/>
        <w:t>acompañamiento especial de las diferentes entidades estatales.</w:t>
      </w:r>
      <w:r>
        <w:rPr>
          <w:color w:val="000000"/>
        </w:rPr>
        <w:t xml:space="preserve"> (negrillas y subrayado propio)</w:t>
      </w:r>
    </w:p>
    <w:p w:rsidR="00157BF1" w:rsidRDefault="001B03EA">
      <w:pPr>
        <w:numPr>
          <w:ilvl w:val="0"/>
          <w:numId w:val="4"/>
        </w:numPr>
        <w:rPr>
          <w:i/>
          <w:color w:val="000000"/>
        </w:rPr>
      </w:pPr>
      <w:r>
        <w:rPr>
          <w:i/>
          <w:color w:val="000000"/>
        </w:rPr>
        <w:t>Desarrollar programas de capacitación para que las personas jóvenes adquieran conocimientos y destrezas, en el campo de la formulación y ejecución de proyectos productivos. (</w:t>
      </w:r>
      <w:r>
        <w:rPr>
          <w:color w:val="000000"/>
        </w:rPr>
        <w:t>negrillas y subrayado propio</w:t>
      </w:r>
      <w:r>
        <w:rPr>
          <w:i/>
          <w:color w:val="000000"/>
        </w:rPr>
        <w:t>)</w:t>
      </w:r>
    </w:p>
    <w:p w:rsidR="00157BF1" w:rsidRDefault="001B03EA">
      <w:pPr>
        <w:ind w:left="720"/>
        <w:rPr>
          <w:rFonts w:ascii="Times New Roman" w:eastAsia="Times New Roman" w:hAnsi="Times New Roman" w:cs="Times New Roman"/>
        </w:rPr>
      </w:pPr>
      <w:r>
        <w:rPr>
          <w:i/>
          <w:color w:val="000000"/>
        </w:rPr>
        <w:t>(…)</w:t>
      </w:r>
    </w:p>
    <w:p w:rsidR="00157BF1" w:rsidRDefault="001B03EA">
      <w:pPr>
        <w:numPr>
          <w:ilvl w:val="0"/>
          <w:numId w:val="5"/>
        </w:numPr>
        <w:rPr>
          <w:b/>
          <w:i/>
          <w:color w:val="000000"/>
          <w:sz w:val="22"/>
          <w:szCs w:val="22"/>
        </w:rPr>
      </w:pPr>
      <w:r>
        <w:rPr>
          <w:b/>
          <w:i/>
          <w:color w:val="000000"/>
          <w:u w:val="single"/>
        </w:rPr>
        <w:t>Organizar una bolsa de trabajo</w:t>
      </w:r>
      <w:r>
        <w:rPr>
          <w:i/>
          <w:color w:val="000000"/>
        </w:rPr>
        <w:t>, mediante la cual se identifiquen actividades laborales que puedan ser desempeñadas por las personas jóvenes y garantizar su divulgación y acompañamiento para la inserción laboral. (</w:t>
      </w:r>
      <w:r>
        <w:rPr>
          <w:color w:val="000000"/>
        </w:rPr>
        <w:t>negrillas y subrayado propio</w:t>
      </w:r>
      <w:r>
        <w:rPr>
          <w:i/>
          <w:color w:val="000000"/>
        </w:rPr>
        <w:t>)</w:t>
      </w:r>
    </w:p>
    <w:p w:rsidR="00157BF1" w:rsidRDefault="001B03EA">
      <w:pPr>
        <w:ind w:left="720"/>
        <w:rPr>
          <w:rFonts w:ascii="Times New Roman" w:eastAsia="Times New Roman" w:hAnsi="Times New Roman" w:cs="Times New Roman"/>
        </w:rPr>
      </w:pPr>
      <w:r>
        <w:rPr>
          <w:i/>
          <w:color w:val="000000"/>
        </w:rPr>
        <w:t>(…)</w:t>
      </w:r>
    </w:p>
    <w:p w:rsidR="00157BF1" w:rsidRDefault="001B03EA">
      <w:pPr>
        <w:numPr>
          <w:ilvl w:val="0"/>
          <w:numId w:val="6"/>
        </w:numPr>
        <w:rPr>
          <w:i/>
          <w:color w:val="000000"/>
        </w:rPr>
      </w:pPr>
      <w:r>
        <w:rPr>
          <w:b/>
          <w:i/>
          <w:color w:val="000000"/>
          <w:u w:val="single"/>
        </w:rPr>
        <w:t>Garantizar una educación de calidad</w:t>
      </w:r>
      <w:r>
        <w:rPr>
          <w:i/>
          <w:color w:val="000000"/>
        </w:rPr>
        <w:t>, creando las condiciones necesarias para que sea accesible a las personas jóvenes, en el marco de las leyes. (</w:t>
      </w:r>
      <w:r>
        <w:rPr>
          <w:color w:val="000000"/>
        </w:rPr>
        <w:t>negrillas y subrayado propio</w:t>
      </w:r>
      <w:r>
        <w:rPr>
          <w:i/>
          <w:color w:val="000000"/>
        </w:rPr>
        <w:t>)</w:t>
      </w:r>
    </w:p>
    <w:p w:rsidR="00157BF1" w:rsidRDefault="00157BF1">
      <w:pPr>
        <w:jc w:val="left"/>
        <w:rPr>
          <w:rFonts w:ascii="Times New Roman" w:eastAsia="Times New Roman" w:hAnsi="Times New Roman" w:cs="Times New Roman"/>
        </w:rPr>
      </w:pPr>
    </w:p>
    <w:p w:rsidR="00157BF1" w:rsidRDefault="001B03EA">
      <w:pPr>
        <w:ind w:left="360"/>
        <w:rPr>
          <w:rFonts w:ascii="Times New Roman" w:eastAsia="Times New Roman" w:hAnsi="Times New Roman" w:cs="Times New Roman"/>
        </w:rPr>
      </w:pPr>
      <w:r>
        <w:rPr>
          <w:color w:val="000000"/>
        </w:rPr>
        <w:t>Los estímulos son importantes para la participación ciudadana en el distrito capital, puesto qu</w:t>
      </w:r>
      <w:r>
        <w:rPr>
          <w:color w:val="000000"/>
        </w:rPr>
        <w:tab/>
        <w:t xml:space="preserve">e la ciudadanía se motiva a involucrarse en este tipo de espacios, esto lo comprendió el Concejo de Bogotá mediante el artículo 33 del acuerdo 33 de 2001 </w:t>
      </w:r>
      <w:r>
        <w:rPr>
          <w:i/>
          <w:color w:val="000000"/>
        </w:rPr>
        <w:t>“Por medio del cual se establece el Consejo Distrital de Juventud, los Consejos Locales de Juventud y se dictan otras disposiciones”, </w:t>
      </w:r>
    </w:p>
    <w:p w:rsidR="00157BF1" w:rsidRDefault="00157BF1">
      <w:pPr>
        <w:jc w:val="left"/>
        <w:rPr>
          <w:rFonts w:ascii="Times New Roman" w:eastAsia="Times New Roman" w:hAnsi="Times New Roman" w:cs="Times New Roman"/>
        </w:rPr>
      </w:pPr>
    </w:p>
    <w:p w:rsidR="00157BF1" w:rsidRDefault="001B03EA">
      <w:pPr>
        <w:ind w:left="360"/>
        <w:rPr>
          <w:rFonts w:ascii="Times New Roman" w:eastAsia="Times New Roman" w:hAnsi="Times New Roman" w:cs="Times New Roman"/>
        </w:rPr>
      </w:pPr>
      <w:r>
        <w:rPr>
          <w:b/>
          <w:i/>
          <w:color w:val="000000"/>
          <w:sz w:val="22"/>
          <w:szCs w:val="22"/>
        </w:rPr>
        <w:t>ARTÍCULO 33°.- ESTIMULOS.</w:t>
      </w:r>
      <w:r>
        <w:rPr>
          <w:i/>
          <w:color w:val="000000"/>
          <w:sz w:val="22"/>
          <w:szCs w:val="22"/>
        </w:rPr>
        <w:t xml:space="preserve"> Los consejeros tanto Distrital como Local de juventud no recibirán ningún tipo de honorarios, </w:t>
      </w:r>
      <w:r>
        <w:rPr>
          <w:b/>
          <w:i/>
          <w:color w:val="000000"/>
          <w:sz w:val="22"/>
          <w:szCs w:val="22"/>
          <w:u w:val="single"/>
        </w:rPr>
        <w:t>pero la Administración Distrital podrá establecer los estímulos de carácter educativo a que tengan lugar por su participación en estos espacios.</w:t>
      </w:r>
      <w:r>
        <w:rPr>
          <w:color w:val="000000"/>
          <w:sz w:val="22"/>
          <w:szCs w:val="22"/>
        </w:rPr>
        <w:t xml:space="preserve"> (Negrilla y subrayado propio)</w:t>
      </w:r>
    </w:p>
    <w:p w:rsidR="00157BF1" w:rsidRDefault="00157BF1">
      <w:pPr>
        <w:jc w:val="left"/>
        <w:rPr>
          <w:rFonts w:ascii="Times New Roman" w:eastAsia="Times New Roman" w:hAnsi="Times New Roman" w:cs="Times New Roman"/>
        </w:rPr>
      </w:pPr>
    </w:p>
    <w:p w:rsidR="00157BF1" w:rsidRDefault="001B03EA">
      <w:pPr>
        <w:ind w:left="360"/>
        <w:rPr>
          <w:sz w:val="22"/>
          <w:szCs w:val="22"/>
        </w:rPr>
      </w:pPr>
      <w:r>
        <w:rPr>
          <w:color w:val="000000"/>
          <w:sz w:val="22"/>
          <w:szCs w:val="22"/>
        </w:rPr>
        <w:t>El cual pretende ser modificado para ampliar los incentivos, para que, en los consejos de juventud locales y distritales, tengan una participación importante de las juventudes de la ciudad, siendo un apoyo y reconocimiento a la labor y funciones que cumplen como consejeros de juventud.</w:t>
      </w:r>
    </w:p>
    <w:p w:rsidR="00157BF1" w:rsidRDefault="001B03EA">
      <w:pPr>
        <w:keepNext/>
        <w:keepLines/>
        <w:numPr>
          <w:ilvl w:val="0"/>
          <w:numId w:val="1"/>
        </w:numPr>
        <w:pBdr>
          <w:top w:val="nil"/>
          <w:left w:val="nil"/>
          <w:bottom w:val="nil"/>
          <w:right w:val="nil"/>
          <w:between w:val="nil"/>
        </w:pBdr>
        <w:spacing w:before="480" w:after="120"/>
        <w:rPr>
          <w:b/>
          <w:color w:val="000000"/>
          <w:sz w:val="22"/>
          <w:szCs w:val="22"/>
        </w:rPr>
      </w:pPr>
      <w:bookmarkStart w:id="16" w:name="_heading=h.26in1rg" w:colFirst="0" w:colLast="0"/>
      <w:bookmarkEnd w:id="16"/>
      <w:r>
        <w:rPr>
          <w:b/>
          <w:color w:val="000000"/>
          <w:sz w:val="22"/>
          <w:szCs w:val="22"/>
        </w:rPr>
        <w:t>CONCLUSIÓN DE LA PONENCIA</w:t>
      </w:r>
    </w:p>
    <w:p w:rsidR="00130B4C" w:rsidRDefault="00130B4C">
      <w:pPr>
        <w:spacing w:line="276" w:lineRule="auto"/>
        <w:rPr>
          <w:sz w:val="22"/>
          <w:szCs w:val="22"/>
        </w:rPr>
      </w:pPr>
    </w:p>
    <w:p w:rsidR="00157BF1" w:rsidRDefault="001B03EA">
      <w:pPr>
        <w:spacing w:line="276" w:lineRule="auto"/>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rindo </w:t>
      </w:r>
      <w:r>
        <w:rPr>
          <w:b/>
          <w:sz w:val="22"/>
          <w:szCs w:val="22"/>
        </w:rPr>
        <w:t xml:space="preserve">PONENCIA  POSITIVA SIN MODIFICACIONES </w:t>
      </w:r>
      <w:r>
        <w:rPr>
          <w:sz w:val="22"/>
          <w:szCs w:val="22"/>
        </w:rPr>
        <w:t xml:space="preserve">al </w:t>
      </w:r>
      <w:r w:rsidR="00026153">
        <w:rPr>
          <w:b/>
          <w:sz w:val="22"/>
          <w:szCs w:val="22"/>
        </w:rPr>
        <w:t>Proyecto de Acuerdo N.º 783</w:t>
      </w:r>
      <w:r>
        <w:rPr>
          <w:b/>
          <w:sz w:val="22"/>
          <w:szCs w:val="22"/>
        </w:rPr>
        <w:t xml:space="preserve"> de 2025</w:t>
      </w:r>
      <w:r>
        <w:rPr>
          <w:sz w:val="22"/>
          <w:szCs w:val="22"/>
        </w:rPr>
        <w:t xml:space="preserve"> </w:t>
      </w:r>
      <w:r>
        <w:rPr>
          <w:b/>
          <w:i/>
          <w:sz w:val="22"/>
          <w:szCs w:val="22"/>
        </w:rPr>
        <w:t>“</w:t>
      </w:r>
      <w:r>
        <w:rPr>
          <w:b/>
          <w:sz w:val="22"/>
          <w:szCs w:val="22"/>
        </w:rPr>
        <w:t xml:space="preserve">POR </w:t>
      </w:r>
      <w:r>
        <w:rPr>
          <w:b/>
          <w:sz w:val="22"/>
          <w:szCs w:val="22"/>
        </w:rPr>
        <w:lastRenderedPageBreak/>
        <w:t xml:space="preserve">MEDIO DEL CUAL SE AMPLÍAN Y FORTALECEN LOS INCENTIVOS PARA LOS CONSEJEROS Y CONSEJERAS DISTRITALES Y LOCALES DE JUVENTUD EN EL DISTRITO CAPITAL, Y SE DICTAN OTRAS DISPOSICIONES” </w:t>
      </w:r>
      <w:r>
        <w:rPr>
          <w:sz w:val="22"/>
          <w:szCs w:val="22"/>
        </w:rPr>
        <w:t xml:space="preserve">toda vez que la implementación de estas medidas vulneran el derecho fundamental al debido proceso y la presunción de inocencia. </w:t>
      </w:r>
    </w:p>
    <w:p w:rsidR="00157BF1" w:rsidRDefault="00157BF1">
      <w:pPr>
        <w:rPr>
          <w:sz w:val="22"/>
          <w:szCs w:val="22"/>
        </w:rPr>
      </w:pPr>
    </w:p>
    <w:p w:rsidR="00157BF1" w:rsidRDefault="00157BF1">
      <w:pPr>
        <w:rPr>
          <w:sz w:val="22"/>
          <w:szCs w:val="22"/>
        </w:rPr>
      </w:pPr>
    </w:p>
    <w:p w:rsidR="00157BF1" w:rsidRDefault="001B03EA">
      <w:pPr>
        <w:rPr>
          <w:sz w:val="22"/>
          <w:szCs w:val="22"/>
        </w:rPr>
      </w:pPr>
      <w:r>
        <w:rPr>
          <w:sz w:val="22"/>
          <w:szCs w:val="22"/>
        </w:rPr>
        <w:t>Respetuosamente,</w:t>
      </w:r>
    </w:p>
    <w:p w:rsidR="00157BF1" w:rsidRDefault="00157BF1">
      <w:pPr>
        <w:rPr>
          <w:sz w:val="22"/>
          <w:szCs w:val="22"/>
        </w:rPr>
      </w:pPr>
      <w:bookmarkStart w:id="17" w:name="_GoBack"/>
      <w:bookmarkEnd w:id="17"/>
    </w:p>
    <w:p w:rsidR="00157BF1" w:rsidRDefault="00157BF1">
      <w:pPr>
        <w:rPr>
          <w:sz w:val="22"/>
          <w:szCs w:val="22"/>
        </w:rPr>
      </w:pPr>
    </w:p>
    <w:p w:rsidR="00157BF1" w:rsidRDefault="00157BF1">
      <w:pPr>
        <w:rPr>
          <w:sz w:val="22"/>
          <w:szCs w:val="22"/>
        </w:rPr>
      </w:pPr>
    </w:p>
    <w:p w:rsidR="00157BF1" w:rsidRDefault="00157BF1">
      <w:pPr>
        <w:rPr>
          <w:sz w:val="22"/>
          <w:szCs w:val="22"/>
        </w:rPr>
      </w:pPr>
    </w:p>
    <w:p w:rsidR="00157BF1" w:rsidRDefault="001B03EA">
      <w:pPr>
        <w:rPr>
          <w:b/>
          <w:sz w:val="22"/>
          <w:szCs w:val="22"/>
        </w:rPr>
      </w:pPr>
      <w:r>
        <w:rPr>
          <w:b/>
          <w:sz w:val="22"/>
          <w:szCs w:val="22"/>
        </w:rPr>
        <w:t xml:space="preserve">EDISON JULIAN FORERO CASTELBLANCO </w:t>
      </w:r>
    </w:p>
    <w:p w:rsidR="00157BF1" w:rsidRDefault="001B03EA">
      <w:pPr>
        <w:rPr>
          <w:sz w:val="22"/>
          <w:szCs w:val="22"/>
        </w:rPr>
      </w:pPr>
      <w:r>
        <w:rPr>
          <w:sz w:val="22"/>
          <w:szCs w:val="22"/>
        </w:rPr>
        <w:t>Concejal de Bogotá</w:t>
      </w:r>
    </w:p>
    <w:p w:rsidR="00157BF1" w:rsidRDefault="001B03EA">
      <w:pPr>
        <w:rPr>
          <w:sz w:val="22"/>
          <w:szCs w:val="22"/>
        </w:rPr>
      </w:pPr>
      <w:bookmarkStart w:id="18" w:name="_heading=h.lnxbz9" w:colFirst="0" w:colLast="0"/>
      <w:bookmarkEnd w:id="18"/>
      <w:r>
        <w:rPr>
          <w:sz w:val="22"/>
          <w:szCs w:val="22"/>
        </w:rPr>
        <w:t xml:space="preserve">Ponente </w:t>
      </w:r>
      <w:r>
        <w:br w:type="page"/>
      </w:r>
    </w:p>
    <w:p w:rsidR="00157BF1" w:rsidRDefault="001B03EA">
      <w:pPr>
        <w:keepNext/>
        <w:keepLines/>
        <w:pBdr>
          <w:top w:val="nil"/>
          <w:left w:val="nil"/>
          <w:bottom w:val="nil"/>
          <w:right w:val="nil"/>
          <w:between w:val="nil"/>
        </w:pBdr>
        <w:spacing w:before="480" w:after="120"/>
        <w:jc w:val="center"/>
        <w:rPr>
          <w:b/>
          <w:color w:val="000000"/>
          <w:sz w:val="22"/>
          <w:szCs w:val="22"/>
        </w:rPr>
      </w:pPr>
      <w:bookmarkStart w:id="19" w:name="_heading=h.4d34og8" w:colFirst="0" w:colLast="0"/>
      <w:bookmarkEnd w:id="19"/>
      <w:r>
        <w:rPr>
          <w:b/>
          <w:color w:val="000000"/>
          <w:sz w:val="22"/>
          <w:szCs w:val="22"/>
        </w:rPr>
        <w:lastRenderedPageBreak/>
        <w:t>ARTICULADO</w:t>
      </w:r>
    </w:p>
    <w:p w:rsidR="00157BF1" w:rsidRDefault="00157BF1">
      <w:pPr>
        <w:rPr>
          <w:sz w:val="22"/>
          <w:szCs w:val="22"/>
        </w:rPr>
      </w:pPr>
    </w:p>
    <w:p w:rsidR="00157BF1" w:rsidRDefault="00157BF1">
      <w:pPr>
        <w:rPr>
          <w:sz w:val="22"/>
          <w:szCs w:val="22"/>
        </w:rPr>
      </w:pPr>
      <w:bookmarkStart w:id="20" w:name="_heading=h.tdlax6r6pfok" w:colFirst="0" w:colLast="0"/>
      <w:bookmarkEnd w:id="20"/>
    </w:p>
    <w:p w:rsidR="00157BF1" w:rsidRDefault="001B03EA">
      <w:pPr>
        <w:keepNext/>
        <w:keepLines/>
        <w:pBdr>
          <w:top w:val="nil"/>
          <w:left w:val="nil"/>
          <w:bottom w:val="nil"/>
          <w:right w:val="nil"/>
          <w:between w:val="nil"/>
        </w:pBdr>
        <w:spacing w:before="480" w:after="120"/>
        <w:rPr>
          <w:b/>
          <w:color w:val="000000"/>
          <w:sz w:val="22"/>
          <w:szCs w:val="22"/>
        </w:rPr>
      </w:pPr>
      <w:bookmarkStart w:id="21" w:name="_heading=h.1ksv4uv" w:colFirst="0" w:colLast="0"/>
      <w:bookmarkEnd w:id="21"/>
      <w:r>
        <w:rPr>
          <w:b/>
          <w:color w:val="000000"/>
          <w:sz w:val="22"/>
          <w:szCs w:val="22"/>
        </w:rPr>
        <w:t>BIBLIOGRAFÍA</w:t>
      </w:r>
    </w:p>
    <w:p w:rsidR="00157BF1" w:rsidRDefault="001B03EA">
      <w:pPr>
        <w:pBdr>
          <w:top w:val="nil"/>
          <w:left w:val="nil"/>
          <w:bottom w:val="nil"/>
          <w:right w:val="nil"/>
          <w:between w:val="nil"/>
        </w:pBdr>
        <w:rPr>
          <w:rFonts w:ascii="Times New Roman" w:eastAsia="Times New Roman" w:hAnsi="Times New Roman" w:cs="Times New Roman"/>
          <w:color w:val="000000"/>
        </w:rPr>
      </w:pPr>
      <w:r>
        <w:rPr>
          <w:color w:val="222222"/>
          <w:sz w:val="22"/>
          <w:szCs w:val="22"/>
        </w:rPr>
        <w:t xml:space="preserve">Registraduría Nacional del Estado Civil, (2021) </w:t>
      </w:r>
      <w:r>
        <w:rPr>
          <w:b/>
          <w:i/>
          <w:color w:val="222222"/>
          <w:sz w:val="22"/>
          <w:szCs w:val="22"/>
        </w:rPr>
        <w:t xml:space="preserve">“2.282.273 jóvenes entre los 14 y 28 años están habilitados para votar en las elecciones de los Consejos de Juventud” </w:t>
      </w:r>
      <w:r>
        <w:rPr>
          <w:color w:val="222222"/>
          <w:sz w:val="22"/>
          <w:szCs w:val="22"/>
        </w:rPr>
        <w:t>Recuperado de:</w:t>
      </w:r>
    </w:p>
    <w:p w:rsidR="00157BF1" w:rsidRDefault="00157BF1">
      <w:pPr>
        <w:pBdr>
          <w:top w:val="nil"/>
          <w:left w:val="nil"/>
          <w:bottom w:val="nil"/>
          <w:right w:val="nil"/>
          <w:between w:val="nil"/>
        </w:pBdr>
        <w:rPr>
          <w:rFonts w:ascii="Times New Roman" w:eastAsia="Times New Roman" w:hAnsi="Times New Roman" w:cs="Times New Roman"/>
          <w:color w:val="000000"/>
        </w:rPr>
      </w:pPr>
    </w:p>
    <w:p w:rsidR="00157BF1" w:rsidRDefault="00356E8C">
      <w:pPr>
        <w:pBdr>
          <w:top w:val="nil"/>
          <w:left w:val="nil"/>
          <w:bottom w:val="nil"/>
          <w:right w:val="nil"/>
          <w:between w:val="nil"/>
        </w:pBdr>
        <w:rPr>
          <w:rFonts w:ascii="Times New Roman" w:eastAsia="Times New Roman" w:hAnsi="Times New Roman" w:cs="Times New Roman"/>
          <w:color w:val="000000"/>
        </w:rPr>
      </w:pPr>
      <w:hyperlink r:id="rId16">
        <w:r w:rsidR="001B03EA">
          <w:rPr>
            <w:color w:val="1155CC"/>
            <w:sz w:val="22"/>
            <w:szCs w:val="22"/>
            <w:u w:val="single"/>
          </w:rPr>
          <w:t>https://www.registraduria.gov.co/12-282-273-jovenes-entre-los-14-y-28-anos-estan-habilitados-para-votar-en-las.html</w:t>
        </w:r>
      </w:hyperlink>
    </w:p>
    <w:p w:rsidR="00157BF1" w:rsidRDefault="00157BF1">
      <w:pPr>
        <w:pBdr>
          <w:top w:val="nil"/>
          <w:left w:val="nil"/>
          <w:bottom w:val="nil"/>
          <w:right w:val="nil"/>
          <w:between w:val="nil"/>
        </w:pBdr>
        <w:rPr>
          <w:color w:val="000000"/>
        </w:rPr>
      </w:pPr>
    </w:p>
    <w:p w:rsidR="00157BF1" w:rsidRDefault="001B03EA">
      <w:pPr>
        <w:pBdr>
          <w:top w:val="nil"/>
          <w:left w:val="nil"/>
          <w:bottom w:val="nil"/>
          <w:right w:val="nil"/>
          <w:between w:val="nil"/>
        </w:pBdr>
        <w:rPr>
          <w:rFonts w:ascii="Times New Roman" w:eastAsia="Times New Roman" w:hAnsi="Times New Roman" w:cs="Times New Roman"/>
          <w:color w:val="000000"/>
        </w:rPr>
      </w:pPr>
      <w:r>
        <w:rPr>
          <w:color w:val="222222"/>
          <w:sz w:val="22"/>
          <w:szCs w:val="22"/>
        </w:rPr>
        <w:t xml:space="preserve">Registraduría Nacional del Estado Civil, (2021) </w:t>
      </w:r>
      <w:r>
        <w:rPr>
          <w:b/>
          <w:i/>
          <w:color w:val="222222"/>
          <w:sz w:val="22"/>
          <w:szCs w:val="22"/>
        </w:rPr>
        <w:t xml:space="preserve">“Ganaron los jóvenes en Colombia” </w:t>
      </w:r>
      <w:r>
        <w:rPr>
          <w:color w:val="222222"/>
          <w:sz w:val="22"/>
          <w:szCs w:val="22"/>
        </w:rPr>
        <w:t>Recuperado de:</w:t>
      </w:r>
    </w:p>
    <w:p w:rsidR="00157BF1" w:rsidRDefault="00356E8C">
      <w:pPr>
        <w:pBdr>
          <w:top w:val="nil"/>
          <w:left w:val="nil"/>
          <w:bottom w:val="nil"/>
          <w:right w:val="nil"/>
          <w:between w:val="nil"/>
        </w:pBdr>
        <w:rPr>
          <w:rFonts w:ascii="Times New Roman" w:eastAsia="Times New Roman" w:hAnsi="Times New Roman" w:cs="Times New Roman"/>
          <w:color w:val="000000"/>
        </w:rPr>
      </w:pPr>
      <w:hyperlink r:id="rId17">
        <w:r w:rsidR="001B03EA">
          <w:rPr>
            <w:color w:val="1155CC"/>
            <w:sz w:val="22"/>
            <w:szCs w:val="22"/>
            <w:u w:val="single"/>
          </w:rPr>
          <w:t>https://www.registraduria.gov.co/Ganaron-los-jovenes-en-Colombia.html</w:t>
        </w:r>
      </w:hyperlink>
    </w:p>
    <w:p w:rsidR="00157BF1" w:rsidRDefault="001B03EA">
      <w:pPr>
        <w:spacing w:after="240"/>
        <w:rPr>
          <w:color w:val="222222"/>
          <w:sz w:val="22"/>
          <w:szCs w:val="22"/>
        </w:rPr>
      </w:pPr>
      <w:r>
        <w:br/>
      </w:r>
      <w:r>
        <w:rPr>
          <w:color w:val="222222"/>
          <w:sz w:val="22"/>
          <w:szCs w:val="22"/>
        </w:rPr>
        <w:t xml:space="preserve">Instituto para la Economía Social [IPES]. (2019). Las ventas informales en el espacio público en Bogotá, soluciones y desafíos. Recuperado de: </w:t>
      </w:r>
    </w:p>
    <w:p w:rsidR="00157BF1" w:rsidRDefault="001B03EA">
      <w:pPr>
        <w:spacing w:after="240"/>
        <w:rPr>
          <w:color w:val="222222"/>
          <w:sz w:val="22"/>
          <w:szCs w:val="22"/>
        </w:rPr>
      </w:pPr>
      <w:r>
        <w:rPr>
          <w:color w:val="222222"/>
          <w:sz w:val="22"/>
          <w:szCs w:val="22"/>
        </w:rPr>
        <w:t>http://www.ipes.gov.co/Libro_Digital_Economia_Informal/Las_Ventas_Informales_en_el%20Espacio_Publico_en_Bogota.pdf  (19/11/2020).</w:t>
      </w:r>
    </w:p>
    <w:p w:rsidR="00157BF1" w:rsidRDefault="00157BF1">
      <w:pPr>
        <w:spacing w:after="240"/>
        <w:rPr>
          <w:color w:val="222222"/>
          <w:sz w:val="22"/>
          <w:szCs w:val="22"/>
        </w:rPr>
      </w:pPr>
    </w:p>
    <w:p w:rsidR="00157BF1" w:rsidRDefault="001B03EA">
      <w:pPr>
        <w:spacing w:after="240"/>
        <w:rPr>
          <w:color w:val="222222"/>
          <w:sz w:val="22"/>
          <w:szCs w:val="22"/>
        </w:rPr>
      </w:pPr>
      <w:r>
        <w:rPr>
          <w:color w:val="222222"/>
          <w:sz w:val="22"/>
          <w:szCs w:val="22"/>
        </w:rPr>
        <w:t> </w:t>
      </w:r>
    </w:p>
    <w:p w:rsidR="00157BF1" w:rsidRDefault="00157BF1">
      <w:pPr>
        <w:spacing w:after="240"/>
      </w:pPr>
    </w:p>
    <w:p w:rsidR="00157BF1" w:rsidRDefault="00157BF1">
      <w:pPr>
        <w:ind w:left="850" w:hanging="850"/>
        <w:rPr>
          <w:color w:val="222222"/>
          <w:sz w:val="22"/>
          <w:szCs w:val="22"/>
        </w:rPr>
      </w:pPr>
    </w:p>
    <w:sectPr w:rsidR="00157BF1">
      <w:type w:val="continuous"/>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E8C" w:rsidRDefault="00356E8C">
      <w:r>
        <w:separator/>
      </w:r>
    </w:p>
  </w:endnote>
  <w:endnote w:type="continuationSeparator" w:id="0">
    <w:p w:rsidR="00356E8C" w:rsidRDefault="0035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57BF1">
    <w:pPr>
      <w:pBdr>
        <w:top w:val="nil"/>
        <w:left w:val="nil"/>
        <w:bottom w:val="nil"/>
        <w:right w:val="nil"/>
        <w:between w:val="nil"/>
      </w:pBdr>
      <w:tabs>
        <w:tab w:val="center" w:pos="4419"/>
        <w:tab w:val="right" w:pos="8838"/>
      </w:tabs>
      <w:jc w:val="right"/>
      <w:rPr>
        <w:rFonts w:ascii="Calibri" w:eastAsia="Calibri" w:hAnsi="Calibri" w:cs="Calibri"/>
        <w:color w:val="000000"/>
      </w:rPr>
    </w:pPr>
  </w:p>
  <w:p w:rsidR="00157BF1" w:rsidRDefault="00157BF1">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157BF1" w:rsidRDefault="00157BF1">
    <w:pPr>
      <w:widowControl w:val="0"/>
      <w:pBdr>
        <w:top w:val="nil"/>
        <w:left w:val="nil"/>
        <w:bottom w:val="nil"/>
        <w:right w:val="nil"/>
        <w:between w:val="nil"/>
      </w:pBdr>
      <w:spacing w:line="276" w:lineRule="auto"/>
      <w:rPr>
        <w:rFonts w:ascii="Calibri" w:eastAsia="Calibri" w:hAnsi="Calibri" w:cs="Calibri"/>
        <w:color w:val="000000"/>
      </w:rPr>
    </w:pPr>
  </w:p>
  <w:p w:rsidR="00157BF1" w:rsidRDefault="00157BF1">
    <w:pPr>
      <w:widowControl w:val="0"/>
      <w:pBdr>
        <w:top w:val="nil"/>
        <w:left w:val="nil"/>
        <w:bottom w:val="nil"/>
        <w:right w:val="nil"/>
        <w:between w:val="nil"/>
      </w:pBdr>
      <w:spacing w:line="276" w:lineRule="auto"/>
      <w:jc w:val="left"/>
      <w:rPr>
        <w:rFonts w:ascii="Calibri" w:eastAsia="Calibri" w:hAnsi="Calibri" w:cs="Calibri"/>
        <w:color w:val="000000"/>
      </w:rPr>
    </w:pPr>
  </w:p>
  <w:p w:rsidR="00157BF1" w:rsidRDefault="001B03EA">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B03EA">
    <w:pPr>
      <w:pBdr>
        <w:top w:val="nil"/>
        <w:left w:val="nil"/>
        <w:bottom w:val="nil"/>
        <w:right w:val="nil"/>
        <w:between w:val="nil"/>
      </w:pBdr>
      <w:tabs>
        <w:tab w:val="center" w:pos="4680"/>
        <w:tab w:val="right" w:pos="9360"/>
      </w:tabs>
      <w:ind w:right="51"/>
      <w:rPr>
        <w:color w:val="000000"/>
        <w:sz w:val="16"/>
        <w:szCs w:val="16"/>
      </w:rPr>
    </w:pPr>
    <w:r>
      <w:rPr>
        <w:noProof/>
        <w:lang w:val="es-CO"/>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55" name="image2.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157BF1" w:rsidRDefault="001B03EA">
    <w:pPr>
      <w:pBdr>
        <w:top w:val="nil"/>
        <w:left w:val="nil"/>
        <w:bottom w:val="nil"/>
        <w:right w:val="nil"/>
        <w:between w:val="nil"/>
      </w:pBdr>
      <w:tabs>
        <w:tab w:val="center" w:pos="4680"/>
        <w:tab w:val="right" w:pos="9360"/>
      </w:tabs>
      <w:ind w:firstLine="568"/>
      <w:jc w:val="center"/>
      <w:rPr>
        <w:color w:val="4F81BD"/>
        <w:sz w:val="16"/>
        <w:szCs w:val="16"/>
      </w:rPr>
    </w:pPr>
    <w:r>
      <w:rPr>
        <w:noProof/>
        <w:lang w:val="es-CO"/>
      </w:rPr>
      <w:drawing>
        <wp:anchor distT="0" distB="0" distL="0" distR="0" simplePos="0" relativeHeight="251659264" behindDoc="0" locked="0" layoutInCell="1" hidden="0" allowOverlap="1">
          <wp:simplePos x="0" y="0"/>
          <wp:positionH relativeFrom="column">
            <wp:posOffset>-8883</wp:posOffset>
          </wp:positionH>
          <wp:positionV relativeFrom="paragraph">
            <wp:posOffset>6985</wp:posOffset>
          </wp:positionV>
          <wp:extent cx="1852930" cy="729615"/>
          <wp:effectExtent l="0" t="0" r="0" b="0"/>
          <wp:wrapSquare wrapText="bothSides" distT="0" distB="0" distL="0" distR="0"/>
          <wp:docPr id="56" name="image5.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157BF1" w:rsidRDefault="001B03EA">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026153">
      <w:rPr>
        <w:noProof/>
        <w:sz w:val="16"/>
        <w:szCs w:val="16"/>
      </w:rPr>
      <w:t>1</w:t>
    </w:r>
    <w:r>
      <w:rPr>
        <w:sz w:val="16"/>
        <w:szCs w:val="16"/>
      </w:rPr>
      <w:fldChar w:fldCharType="end"/>
    </w:r>
    <w:r>
      <w:rPr>
        <w:sz w:val="16"/>
        <w:szCs w:val="16"/>
      </w:rPr>
      <w:t xml:space="preserve"> de 1</w:t>
    </w:r>
  </w:p>
  <w:p w:rsidR="00157BF1" w:rsidRDefault="001B03EA">
    <w:pPr>
      <w:ind w:left="284" w:firstLine="284"/>
      <w:jc w:val="center"/>
      <w:rPr>
        <w:sz w:val="16"/>
        <w:szCs w:val="16"/>
      </w:rPr>
    </w:pPr>
    <w:r>
      <w:rPr>
        <w:noProof/>
        <w:lang w:val="es-CO"/>
      </w:rPr>
      <mc:AlternateContent>
        <mc:Choice Requires="wpg">
          <w:drawing>
            <wp:anchor distT="0" distB="0" distL="114300" distR="114300" simplePos="0" relativeHeight="251660288" behindDoc="0" locked="0" layoutInCell="1" hidden="0" allowOverlap="1">
              <wp:simplePos x="0" y="0"/>
              <wp:positionH relativeFrom="column">
                <wp:posOffset>4389438</wp:posOffset>
              </wp:positionH>
              <wp:positionV relativeFrom="paragraph">
                <wp:posOffset>388938</wp:posOffset>
              </wp:positionV>
              <wp:extent cx="1201664" cy="256540"/>
              <wp:effectExtent l="0" t="0" r="0" b="0"/>
              <wp:wrapNone/>
              <wp:docPr id="49" name="Rectángulo 49"/>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157BF1" w:rsidRDefault="001B03EA">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4389438</wp:posOffset>
              </wp:positionH>
              <wp:positionV relativeFrom="paragraph">
                <wp:posOffset>388938</wp:posOffset>
              </wp:positionV>
              <wp:extent cx="1201664" cy="256540"/>
              <wp:effectExtent b="0" l="0" r="0" t="0"/>
              <wp:wrapNone/>
              <wp:docPr id="49"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1201664" cy="256540"/>
                      </a:xfrm>
                      <a:prstGeom prst="rect"/>
                      <a:ln/>
                    </pic:spPr>
                  </pic:pic>
                </a:graphicData>
              </a:graphic>
            </wp:anchor>
          </w:drawing>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B03EA">
    <w:pPr>
      <w:jc w:val="center"/>
      <w:rPr>
        <w:sz w:val="16"/>
        <w:szCs w:val="16"/>
      </w:rPr>
    </w:pPr>
    <w:r>
      <w:rPr>
        <w:sz w:val="16"/>
        <w:szCs w:val="16"/>
      </w:rPr>
      <w:t>Página 1 de 1</w:t>
    </w:r>
    <w:r>
      <w:rPr>
        <w:noProof/>
        <w:lang w:val="es-CO"/>
      </w:rPr>
      <w:drawing>
        <wp:anchor distT="114300" distB="114300" distL="114300" distR="114300" simplePos="0" relativeHeight="251661312" behindDoc="0" locked="0" layoutInCell="1" hidden="0" allowOverlap="1">
          <wp:simplePos x="0" y="0"/>
          <wp:positionH relativeFrom="column">
            <wp:posOffset>-400037</wp:posOffset>
          </wp:positionH>
          <wp:positionV relativeFrom="paragraph">
            <wp:posOffset>-244465</wp:posOffset>
          </wp:positionV>
          <wp:extent cx="1390650" cy="552450"/>
          <wp:effectExtent l="0" t="0" r="0" b="0"/>
          <wp:wrapSquare wrapText="bothSides" distT="114300" distB="114300" distL="114300" distR="114300"/>
          <wp:docPr id="5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157BF1" w:rsidRDefault="00157BF1">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B03EA">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026153">
      <w:rPr>
        <w:noProof/>
        <w:sz w:val="16"/>
        <w:szCs w:val="16"/>
      </w:rPr>
      <w:t>22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026153">
      <w:rPr>
        <w:noProof/>
        <w:sz w:val="16"/>
        <w:szCs w:val="16"/>
      </w:rPr>
      <w:t>22</w:t>
    </w:r>
    <w:r>
      <w:rPr>
        <w:sz w:val="16"/>
        <w:szCs w:val="16"/>
      </w:rPr>
      <w:fldChar w:fldCharType="end"/>
    </w:r>
  </w:p>
  <w:p w:rsidR="00157BF1" w:rsidRDefault="00157BF1">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E8C" w:rsidRDefault="00356E8C">
      <w:r>
        <w:separator/>
      </w:r>
    </w:p>
  </w:footnote>
  <w:footnote w:type="continuationSeparator" w:id="0">
    <w:p w:rsidR="00356E8C" w:rsidRDefault="00356E8C">
      <w:r>
        <w:continuationSeparator/>
      </w:r>
    </w:p>
  </w:footnote>
  <w:footnote w:id="1">
    <w:p w:rsidR="00157BF1" w:rsidRDefault="001B03EA">
      <w:pPr>
        <w:rPr>
          <w:sz w:val="20"/>
          <w:szCs w:val="20"/>
        </w:rPr>
      </w:pPr>
      <w:r>
        <w:rPr>
          <w:vertAlign w:val="superscript"/>
        </w:rPr>
        <w:footnoteRef/>
      </w:r>
      <w:r>
        <w:rPr>
          <w:sz w:val="20"/>
          <w:szCs w:val="20"/>
        </w:rPr>
        <w:t xml:space="preserve">  Este acápite se desarrolla a partir de lo manifestado por el autor en la exposición de motivos, la cual puede ser consultada en la Red Interna del Concejo de Bogotá en la ruta: S:\ GOBIERNO \ PERIODO 2024-2027 \ 2025 \ PROYECTOS DE ACUERDO 2025 \  PROYECTOS DE ACUERDO MES DE AGOSTO - </w:t>
      </w:r>
      <w:r w:rsidR="00026153">
        <w:rPr>
          <w:sz w:val="20"/>
          <w:szCs w:val="20"/>
        </w:rPr>
        <w:t>2025 \  PROYECTOS DE ACUERDO 783</w:t>
      </w:r>
      <w:r>
        <w:rPr>
          <w:sz w:val="20"/>
          <w:szCs w:val="20"/>
        </w:rPr>
        <w:t xml:space="preserve">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B03EA">
    <w:pPr>
      <w:widowControl w:val="0"/>
      <w:pBdr>
        <w:top w:val="nil"/>
        <w:left w:val="nil"/>
        <w:bottom w:val="nil"/>
        <w:right w:val="nil"/>
        <w:between w:val="nil"/>
      </w:pBdr>
      <w:spacing w:line="276" w:lineRule="auto"/>
      <w:jc w:val="center"/>
      <w:rPr>
        <w:color w:val="000000"/>
        <w:sz w:val="20"/>
        <w:szCs w:val="20"/>
      </w:rPr>
    </w:pPr>
    <w:r>
      <w:rPr>
        <w:noProof/>
        <w:sz w:val="18"/>
        <w:szCs w:val="18"/>
        <w:lang w:val="es-CO"/>
      </w:rPr>
      <w:drawing>
        <wp:inline distT="0" distB="0" distL="0" distR="0">
          <wp:extent cx="1080000" cy="1105920"/>
          <wp:effectExtent l="0" t="0" r="0" b="0"/>
          <wp:docPr id="53"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157BF1" w:rsidRDefault="00157BF1">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B03EA">
    <w:pPr>
      <w:spacing w:line="360" w:lineRule="auto"/>
      <w:rPr>
        <w:sz w:val="18"/>
        <w:szCs w:val="18"/>
      </w:rPr>
    </w:pPr>
    <w:r>
      <w:rPr>
        <w:sz w:val="18"/>
        <w:szCs w:val="18"/>
      </w:rPr>
      <w:t xml:space="preserve"> </w:t>
    </w:r>
  </w:p>
  <w:p w:rsidR="00157BF1" w:rsidRDefault="001B03EA">
    <w:pPr>
      <w:jc w:val="center"/>
    </w:pPr>
    <w:r>
      <w:rPr>
        <w:noProof/>
        <w:lang w:val="es-CO"/>
      </w:rPr>
      <w:drawing>
        <wp:inline distT="114300" distB="114300" distL="114300" distR="114300">
          <wp:extent cx="809625" cy="828675"/>
          <wp:effectExtent l="0" t="0" r="0" b="0"/>
          <wp:docPr id="5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BF1" w:rsidRDefault="00157BF1">
    <w:pPr>
      <w:pBdr>
        <w:top w:val="nil"/>
        <w:left w:val="nil"/>
        <w:bottom w:val="nil"/>
        <w:right w:val="nil"/>
        <w:between w:val="nil"/>
      </w:pBdr>
      <w:tabs>
        <w:tab w:val="center" w:pos="4419"/>
        <w:tab w:val="right" w:pos="8838"/>
      </w:tabs>
      <w:rPr>
        <w:rFonts w:ascii="Calibri" w:eastAsia="Calibri" w:hAnsi="Calibri" w:cs="Calibri"/>
      </w:rPr>
    </w:pPr>
  </w:p>
  <w:tbl>
    <w:tblPr>
      <w:tblStyle w:val="af1"/>
      <w:tblW w:w="8838"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157BF1">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157BF1" w:rsidRDefault="001B03EA">
          <w:pPr>
            <w:tabs>
              <w:tab w:val="center" w:pos="4419"/>
              <w:tab w:val="right" w:pos="8838"/>
            </w:tabs>
            <w:jc w:val="center"/>
            <w:rPr>
              <w:sz w:val="16"/>
              <w:szCs w:val="16"/>
            </w:rPr>
          </w:pPr>
          <w:r>
            <w:rPr>
              <w:noProof/>
              <w:sz w:val="16"/>
              <w:szCs w:val="16"/>
              <w:lang w:val="es-CO"/>
            </w:rPr>
            <w:drawing>
              <wp:inline distT="114300" distB="114300" distL="114300" distR="114300">
                <wp:extent cx="805815" cy="956052"/>
                <wp:effectExtent l="0" t="0" r="0" b="0"/>
                <wp:docPr id="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157BF1" w:rsidRDefault="001B03EA">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157BF1" w:rsidRDefault="001B03EA">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157BF1">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157BF1" w:rsidRDefault="00157BF1">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57BF1" w:rsidRDefault="001B03EA">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57BF1" w:rsidRDefault="001B03EA">
          <w:pPr>
            <w:tabs>
              <w:tab w:val="center" w:pos="4419"/>
              <w:tab w:val="right" w:pos="8838"/>
            </w:tabs>
            <w:rPr>
              <w:sz w:val="16"/>
              <w:szCs w:val="16"/>
            </w:rPr>
          </w:pPr>
          <w:r>
            <w:rPr>
              <w:sz w:val="16"/>
              <w:szCs w:val="16"/>
            </w:rPr>
            <w:t>VERSIÓN:</w:t>
          </w:r>
          <w:r>
            <w:rPr>
              <w:sz w:val="16"/>
              <w:szCs w:val="16"/>
            </w:rPr>
            <w:tab/>
            <w:t>01</w:t>
          </w:r>
        </w:p>
      </w:tc>
    </w:tr>
    <w:tr w:rsidR="00157BF1">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157BF1" w:rsidRDefault="00157BF1">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57BF1" w:rsidRDefault="00157BF1">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57BF1" w:rsidRDefault="001B03EA">
          <w:pPr>
            <w:tabs>
              <w:tab w:val="center" w:pos="4419"/>
              <w:tab w:val="right" w:pos="8838"/>
            </w:tabs>
            <w:rPr>
              <w:sz w:val="16"/>
              <w:szCs w:val="16"/>
            </w:rPr>
          </w:pPr>
          <w:r>
            <w:rPr>
              <w:sz w:val="16"/>
              <w:szCs w:val="16"/>
            </w:rPr>
            <w:t>FECHA: 14-Nov-2019</w:t>
          </w:r>
        </w:p>
      </w:tc>
    </w:tr>
  </w:tbl>
  <w:p w:rsidR="00157BF1" w:rsidRDefault="00157BF1">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9313D"/>
    <w:multiLevelType w:val="multilevel"/>
    <w:tmpl w:val="7B62D47E"/>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DAA4CE5"/>
    <w:multiLevelType w:val="multilevel"/>
    <w:tmpl w:val="57ACB380"/>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D01C9"/>
    <w:multiLevelType w:val="multilevel"/>
    <w:tmpl w:val="768AEB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BB2539"/>
    <w:multiLevelType w:val="multilevel"/>
    <w:tmpl w:val="683E9FD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794314D"/>
    <w:multiLevelType w:val="multilevel"/>
    <w:tmpl w:val="2A00AFD6"/>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60A0F94"/>
    <w:multiLevelType w:val="multilevel"/>
    <w:tmpl w:val="94AE84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BF1"/>
    <w:rsid w:val="00026153"/>
    <w:rsid w:val="00130B4C"/>
    <w:rsid w:val="00157BF1"/>
    <w:rsid w:val="001B03EA"/>
    <w:rsid w:val="00356E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2CB8"/>
  <w15:docId w15:val="{9AD94B34-380F-41CB-8719-533AA233A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22"/>
      <w:szCs w:val="22"/>
    </w:rPr>
  </w:style>
  <w:style w:type="paragraph" w:styleId="Ttulo2">
    <w:name w:val="heading 2"/>
    <w:basedOn w:val="Normal"/>
    <w:next w:val="Normal"/>
    <w:pPr>
      <w:keepNext/>
      <w:keepLines/>
      <w:spacing w:before="360" w:after="80"/>
      <w:outlineLvl w:val="1"/>
    </w:pPr>
    <w:rPr>
      <w:b/>
      <w:sz w:val="22"/>
      <w:szCs w:val="22"/>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next w:val="Normal"/>
    <w:uiPriority w:val="39"/>
    <w:unhideWhenUsed/>
    <w:qFormat/>
    <w:rsid w:val="00C91102"/>
    <w:pPr>
      <w:spacing w:line="276" w:lineRule="auto"/>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eNormal4"/>
    <w:tblPr>
      <w:tblStyleRowBandSize w:val="1"/>
      <w:tblStyleColBandSize w:val="1"/>
      <w:tblCellMar>
        <w:top w:w="100" w:type="dxa"/>
        <w:left w:w="100" w:type="dxa"/>
        <w:bottom w:w="100" w:type="dxa"/>
        <w:right w:w="100" w:type="dxa"/>
      </w:tblCellMar>
    </w:tblPr>
  </w:style>
  <w:style w:type="table" w:customStyle="1" w:styleId="a8">
    <w:basedOn w:val="TableNormal4"/>
    <w:tblPr>
      <w:tblStyleRowBandSize w:val="1"/>
      <w:tblStyleColBandSize w:val="1"/>
      <w:tblCellMar>
        <w:top w:w="100" w:type="dxa"/>
        <w:left w:w="100" w:type="dxa"/>
        <w:bottom w:w="100" w:type="dxa"/>
        <w:right w:w="100" w:type="dxa"/>
      </w:tblCellMar>
    </w:tblPr>
  </w:style>
  <w:style w:type="table" w:customStyle="1" w:styleId="a9">
    <w:basedOn w:val="TableNormal4"/>
    <w:tblPr>
      <w:tblStyleRowBandSize w:val="1"/>
      <w:tblStyleColBandSize w:val="1"/>
      <w:tblCellMar>
        <w:top w:w="100" w:type="dxa"/>
        <w:left w:w="100" w:type="dxa"/>
        <w:bottom w:w="100" w:type="dxa"/>
        <w:right w:w="100" w:type="dxa"/>
      </w:tblCellMar>
    </w:tblPr>
  </w:style>
  <w:style w:type="table" w:customStyle="1" w:styleId="aa">
    <w:basedOn w:val="TableNormal4"/>
    <w:tblPr>
      <w:tblStyleRowBandSize w:val="1"/>
      <w:tblStyleColBandSize w:val="1"/>
      <w:tblCellMar>
        <w:top w:w="100" w:type="dxa"/>
        <w:left w:w="100" w:type="dxa"/>
        <w:bottom w:w="100" w:type="dxa"/>
        <w:right w:w="100" w:type="dxa"/>
      </w:tblCellMar>
    </w:tblPr>
  </w:style>
  <w:style w:type="table" w:customStyle="1" w:styleId="ab">
    <w:basedOn w:val="TableNormal4"/>
    <w:tblPr>
      <w:tblStyleRowBandSize w:val="1"/>
      <w:tblStyleColBandSize w:val="1"/>
      <w:tblCellMar>
        <w:top w:w="100" w:type="dxa"/>
        <w:left w:w="100" w:type="dxa"/>
        <w:bottom w:w="100" w:type="dxa"/>
        <w:right w:w="100" w:type="dxa"/>
      </w:tblCellMar>
    </w:tblPr>
  </w:style>
  <w:style w:type="table" w:customStyle="1" w:styleId="ac">
    <w:basedOn w:val="TableNormal4"/>
    <w:tblPr>
      <w:tblStyleRowBandSize w:val="1"/>
      <w:tblStyleColBandSize w:val="1"/>
      <w:tblCellMar>
        <w:top w:w="100" w:type="dxa"/>
        <w:left w:w="100" w:type="dxa"/>
        <w:bottom w:w="100" w:type="dxa"/>
        <w:right w:w="100" w:type="dxa"/>
      </w:tblCellMar>
    </w:tblPr>
  </w:style>
  <w:style w:type="table" w:customStyle="1" w:styleId="ad">
    <w:basedOn w:val="TableNormal4"/>
    <w:tblPr>
      <w:tblStyleRowBandSize w:val="1"/>
      <w:tblStyleColBandSize w:val="1"/>
      <w:tblCellMar>
        <w:top w:w="100" w:type="dxa"/>
        <w:left w:w="100" w:type="dxa"/>
        <w:bottom w:w="100" w:type="dxa"/>
        <w:right w:w="100" w:type="dxa"/>
      </w:tblCellMar>
    </w:tblPr>
  </w:style>
  <w:style w:type="table" w:customStyle="1" w:styleId="ae">
    <w:basedOn w:val="TableNormal4"/>
    <w:tblPr>
      <w:tblStyleRowBandSize w:val="1"/>
      <w:tblStyleColBandSize w:val="1"/>
      <w:tblCellMar>
        <w:top w:w="100" w:type="dxa"/>
        <w:left w:w="100" w:type="dxa"/>
        <w:bottom w:w="100" w:type="dxa"/>
        <w:right w:w="100" w:type="dxa"/>
      </w:tblCellMar>
    </w:tblPr>
  </w:style>
  <w:style w:type="table" w:customStyle="1" w:styleId="af">
    <w:basedOn w:val="TableNormal4"/>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4D15F6"/>
    <w:pPr>
      <w:spacing w:before="100" w:beforeAutospacing="1" w:after="100" w:afterAutospacing="1"/>
      <w:jc w:val="left"/>
    </w:pPr>
    <w:rPr>
      <w:rFonts w:ascii="Times New Roman" w:eastAsia="Times New Roman" w:hAnsi="Times New Roman" w:cs="Times New Roman"/>
      <w:lang w:val="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registraduria.gov.co/Ganaron-los-jovenes-en-Colombia.html" TargetMode="External"/><Relationship Id="rId2" Type="http://schemas.openxmlformats.org/officeDocument/2006/relationships/numbering" Target="numbering.xml"/><Relationship Id="rId16" Type="http://schemas.openxmlformats.org/officeDocument/2006/relationships/hyperlink" Target="https://www.registraduria.gov.co/12-282-273-jovenes-entre-los-14-y-28-anos-estan-habilitados-para-votar-en-la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zEpV1KmW5BeMdv++ReK3emoJmg==">CgMxLjAyCGguZ2pkZ3hzMgloLjMwajB6bGwyCWguMWZvYjl0ZTINaC41NzMweHVocDZibDIOaC4xYjk2dWM4cnRxa2MyDmgucGRva3ZlMTUyd2xpMgloLjN6bnlzaDcyDmguNnJ0N2ZxMTd3dDlwMg5oLnJ6YTM3NWF1ZHo0MjIIaC50eWpjd3QyDmgub3ozNjViYzhvem02MgloLjNkeTZ2a20yCWguMXQzaDVzZjIJaC4yczhleW8xMgloLjE3ZHA4dnUyCWguM3JkY3JqbjIJaC4yNmluMXJnMghoLmxueGJ6OTIJaC40ZDM0b2c4Mg5oLnRkbGF4NnI2cGZvazIJaC4xa3N2NHV2OAByITFsTFVlNDVxeWRhanlMMGZpWk56dHE0SkE1T2U3Q0Zj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6081</Words>
  <Characters>33448</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H.CONCEJAL EDISON JULIAN FORERO CASTELBLANCO</cp:lastModifiedBy>
  <cp:revision>2</cp:revision>
  <cp:lastPrinted>2025-10-17T14:51:00Z</cp:lastPrinted>
  <dcterms:created xsi:type="dcterms:W3CDTF">2025-10-17T14:52:00Z</dcterms:created>
  <dcterms:modified xsi:type="dcterms:W3CDTF">2025-10-17T14:52:00Z</dcterms:modified>
</cp:coreProperties>
</file>